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PlainText"/>
        <w:spacing w:before="120" w:after="120"/>
        <w:jc w:val="center"/>
        <w:rPr>
          <w:rFonts w:ascii="DIN Pro Regular" w:hAnsi="DIN Pro Regular" w:eastAsia="MS Mincho" w:cs="DIN Pro Regular"/>
          <w:b/>
          <w:b/>
          <w:sz w:val="46"/>
          <w:szCs w:val="46"/>
        </w:rPr>
      </w:pPr>
      <w:r>
        <w:rPr>
          <w:rFonts w:eastAsia="MS Mincho" w:cs="DIN Pro Regular" w:ascii="DIN Pro Regular" w:hAnsi="DIN Pro Regular"/>
          <w:b/>
          <w:sz w:val="46"/>
          <w:szCs w:val="46"/>
        </w:rPr>
      </w:r>
    </w:p>
    <w:p>
      <w:pPr>
        <w:pStyle w:val="Normal"/>
        <w:jc w:val="center"/>
        <w:rPr>
          <w:rFonts w:cs="DIN Pro Regular"/>
          <w:b/>
          <w:b/>
          <w:bCs/>
          <w:sz w:val="36"/>
          <w:szCs w:val="36"/>
        </w:rPr>
      </w:pPr>
      <w:r>
        <w:rPr>
          <w:rFonts w:cs="DIN Pro Regular"/>
          <w:b/>
          <w:bCs/>
          <w:sz w:val="36"/>
          <w:szCs w:val="36"/>
        </w:rPr>
        <w:t>РОССИЯ</w:t>
      </w:r>
    </w:p>
    <w:p>
      <w:pPr>
        <w:pStyle w:val="Normal"/>
        <w:jc w:val="center"/>
        <w:rPr>
          <w:rFonts w:cs="DIN Pro Regular"/>
          <w:b/>
          <w:b/>
          <w:bCs/>
          <w:szCs w:val="20"/>
        </w:rPr>
      </w:pPr>
      <w:r>
        <w:rPr>
          <w:rFonts w:cs="DIN Pro Regular"/>
          <w:b/>
          <w:bCs/>
          <w:szCs w:val="20"/>
        </w:rPr>
      </w:r>
    </w:p>
    <w:p>
      <w:pPr>
        <w:pStyle w:val="Normal"/>
        <w:jc w:val="center"/>
        <w:rPr/>
      </w:pPr>
      <w:r>
        <w:rPr>
          <w:rFonts w:cs="DIN Pro Regular"/>
          <w:b/>
          <w:bCs/>
          <w:sz w:val="32"/>
          <w:szCs w:val="32"/>
        </w:rPr>
        <w:t xml:space="preserve">ООО </w:t>
      </w:r>
      <w:r>
        <w:rPr>
          <w:rFonts w:cs="DIN Pro Regular"/>
          <w:b/>
          <w:bCs/>
          <w:sz w:val="32"/>
          <w:szCs w:val="32"/>
        </w:rPr>
        <w:t xml:space="preserve">МП </w:t>
      </w:r>
      <w:r>
        <w:rPr>
          <w:rFonts w:cs="DIN Pro Regular"/>
          <w:b/>
          <w:bCs/>
          <w:sz w:val="32"/>
          <w:szCs w:val="32"/>
        </w:rPr>
        <w:t>«А</w:t>
      </w:r>
      <w:r>
        <w:rPr>
          <w:rFonts w:cs="DIN Pro Regular"/>
          <w:b/>
          <w:bCs/>
          <w:sz w:val="32"/>
          <w:szCs w:val="32"/>
        </w:rPr>
        <w:t>ТЕСИ</w:t>
      </w:r>
      <w:r>
        <w:rPr>
          <w:rFonts w:cs="DIN Pro Regular"/>
          <w:b/>
          <w:bCs/>
          <w:sz w:val="32"/>
          <w:szCs w:val="32"/>
        </w:rPr>
        <w:t>»</w:t>
      </w:r>
    </w:p>
    <w:p>
      <w:pPr>
        <w:pStyle w:val="PlainText"/>
        <w:rPr>
          <w:rFonts w:ascii="DIN Pro Regular" w:hAnsi="DIN Pro Regular" w:eastAsia="MS Mincho" w:cs="DIN Pro Regular"/>
          <w:b/>
          <w:b/>
          <w:sz w:val="46"/>
          <w:szCs w:val="46"/>
        </w:rPr>
      </w:pPr>
      <w:r>
        <w:rPr>
          <w:rFonts w:eastAsia="MS Mincho" w:cs="DIN Pro Regular" w:ascii="DIN Pro Regular" w:hAnsi="DIN Pro Regular"/>
          <w:b/>
          <w:sz w:val="46"/>
          <w:szCs w:val="46"/>
        </w:rPr>
      </w:r>
    </w:p>
    <w:p>
      <w:pPr>
        <w:pStyle w:val="PlainText"/>
        <w:jc w:val="center"/>
        <w:rPr>
          <w:rFonts w:ascii="DIN Pro Regular" w:hAnsi="DIN Pro Regular" w:eastAsia="MS Mincho" w:cs="DIN Pro Regular"/>
          <w:b/>
          <w:b/>
          <w:sz w:val="46"/>
          <w:szCs w:val="46"/>
        </w:rPr>
      </w:pPr>
      <w:r>
        <w:rPr>
          <w:rFonts w:eastAsia="MS Mincho" w:cs="DIN Pro Regular" w:ascii="DIN Pro Regular" w:hAnsi="DIN Pro Regular"/>
          <w:b/>
          <w:sz w:val="46"/>
          <w:szCs w:val="46"/>
        </w:rPr>
      </w:r>
    </w:p>
    <w:p>
      <w:pPr>
        <w:pStyle w:val="PlainText"/>
        <w:jc w:val="center"/>
        <w:rPr>
          <w:rFonts w:ascii="DIN Pro Regular" w:hAnsi="DIN Pro Regular" w:eastAsia="MS Mincho" w:cs="DIN Pro Regular"/>
          <w:b/>
          <w:b/>
          <w:sz w:val="46"/>
          <w:szCs w:val="46"/>
        </w:rPr>
      </w:pPr>
      <w:r>
        <w:rPr>
          <w:rFonts w:eastAsia="MS Mincho" w:cs="DIN Pro Regular" w:ascii="DIN Pro Regular" w:hAnsi="DIN Pro Regular"/>
          <w:b/>
          <w:sz w:val="46"/>
          <w:szCs w:val="46"/>
        </w:rPr>
      </w:r>
    </w:p>
    <w:p>
      <w:pPr>
        <w:pStyle w:val="PlainText"/>
        <w:jc w:val="center"/>
        <w:rPr>
          <w:rFonts w:ascii="DIN Pro Regular" w:hAnsi="DIN Pro Regular" w:eastAsia="MS Mincho" w:cs="DIN Pro Regular"/>
          <w:b/>
          <w:b/>
          <w:sz w:val="46"/>
          <w:szCs w:val="46"/>
        </w:rPr>
      </w:pPr>
      <w:r>
        <w:rPr>
          <w:rFonts w:eastAsia="MS Mincho" w:cs="DIN Pro Regular" w:ascii="DIN Pro Regular" w:hAnsi="DIN Pro Regular"/>
          <w:b/>
          <w:sz w:val="46"/>
          <w:szCs w:val="46"/>
        </w:rPr>
      </w:r>
    </w:p>
    <w:p>
      <w:pPr>
        <w:pStyle w:val="PlainText"/>
        <w:jc w:val="center"/>
        <w:rPr>
          <w:rFonts w:ascii="DIN Pro Regular" w:hAnsi="DIN Pro Regular" w:eastAsia="MS Mincho" w:cs="DIN Pro Regular"/>
          <w:b/>
          <w:b/>
          <w:sz w:val="46"/>
          <w:szCs w:val="46"/>
        </w:rPr>
      </w:pPr>
      <w:r>
        <w:rPr>
          <w:rFonts w:eastAsia="MS Mincho" w:cs="DIN Pro Regular" w:ascii="DIN Pro Regular" w:hAnsi="DIN Pro Regular"/>
          <w:b/>
          <w:sz w:val="46"/>
          <w:szCs w:val="46"/>
        </w:rPr>
      </w:r>
    </w:p>
    <w:p>
      <w:pPr>
        <w:pStyle w:val="PlainText"/>
        <w:jc w:val="center"/>
        <w:rPr>
          <w:rFonts w:ascii="DIN Pro Regular" w:hAnsi="DIN Pro Regular" w:eastAsia="MS Mincho" w:cs="DIN Pro Regular"/>
          <w:b/>
          <w:b/>
          <w:sz w:val="46"/>
          <w:szCs w:val="46"/>
        </w:rPr>
      </w:pPr>
      <w:r>
        <w:rPr>
          <w:rFonts w:eastAsia="MS Mincho" w:cs="DIN Pro Regular" w:ascii="DIN Pro Regular" w:hAnsi="DIN Pro Regular"/>
          <w:b/>
          <w:sz w:val="46"/>
          <w:szCs w:val="46"/>
        </w:rPr>
      </w:r>
    </w:p>
    <w:p>
      <w:pPr>
        <w:pStyle w:val="PlainText"/>
        <w:jc w:val="center"/>
        <w:rPr>
          <w:rFonts w:ascii="DIN Pro Regular" w:hAnsi="DIN Pro Regular" w:eastAsia="MS Mincho" w:cs="DIN Pro Regular"/>
          <w:b/>
          <w:b/>
          <w:sz w:val="46"/>
          <w:szCs w:val="46"/>
        </w:rPr>
      </w:pPr>
      <w:r>
        <w:rPr>
          <w:rFonts w:eastAsia="MS Mincho" w:cs="DIN Pro Regular" w:ascii="DIN Pro Regular" w:hAnsi="DIN Pro Regular"/>
          <w:b/>
          <w:sz w:val="46"/>
          <w:szCs w:val="46"/>
        </w:rPr>
      </w:r>
    </w:p>
    <w:p>
      <w:pPr>
        <w:pStyle w:val="PlainText"/>
        <w:jc w:val="center"/>
        <w:rPr>
          <w:rFonts w:ascii="DIN Pro Regular" w:hAnsi="DIN Pro Regular" w:eastAsia="MS Mincho" w:cs="DIN Pro Regular"/>
          <w:b/>
          <w:b/>
          <w:sz w:val="46"/>
          <w:szCs w:val="46"/>
        </w:rPr>
      </w:pPr>
      <w:r>
        <w:rPr>
          <w:rFonts w:eastAsia="MS Mincho" w:cs="DIN Pro Regular" w:ascii="DIN Pro Regular" w:hAnsi="DIN Pro Regular"/>
          <w:b/>
          <w:sz w:val="46"/>
          <w:szCs w:val="46"/>
        </w:rPr>
        <w:t>ШКАФ ХОЛОДИЛЬНЫЙ</w:t>
      </w:r>
    </w:p>
    <w:p>
      <w:pPr>
        <w:pStyle w:val="PlainText"/>
        <w:jc w:val="center"/>
        <w:rPr>
          <w:rFonts w:ascii="DIN Pro Regular" w:hAnsi="DIN Pro Regular" w:eastAsia="MS Mincho" w:cs="DIN Pro Regular"/>
          <w:b/>
          <w:b/>
          <w:sz w:val="46"/>
          <w:szCs w:val="46"/>
        </w:rPr>
      </w:pPr>
      <w:r>
        <w:rPr>
          <w:rFonts w:eastAsia="MS Mincho" w:cs="DIN Pro Regular" w:ascii="DIN Pro Regular" w:hAnsi="DIN Pro Regular"/>
          <w:b/>
          <w:sz w:val="46"/>
          <w:szCs w:val="46"/>
        </w:rPr>
      </w:r>
    </w:p>
    <w:p>
      <w:pPr>
        <w:pStyle w:val="PlainText"/>
        <w:jc w:val="center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b/>
          <w:sz w:val="38"/>
          <w:szCs w:val="38"/>
        </w:rPr>
        <w:t>РУКОВОДСТВО ПО ЭКСПЛУАТАЦИИ</w:t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jc w:val="center"/>
        <w:rPr>
          <w:rFonts w:ascii="DIN Pro Regular" w:hAnsi="DIN Pro Regular" w:eastAsia="MS Mincho" w:cs="DIN Pro Regular"/>
          <w:sz w:val="23"/>
          <w:szCs w:val="23"/>
        </w:rPr>
      </w:pPr>
      <w:r>
        <w:rPr/>
        <w:drawing>
          <wp:inline distT="0" distB="0" distL="0" distR="0">
            <wp:extent cx="647700" cy="647700"/>
            <wp:effectExtent l="0" t="0" r="0" b="0"/>
            <wp:docPr id="1" name="Рисунок 2" descr="Знак ЕА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Знак ЕАС.bmp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4938" t="41347" r="74930" b="4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PlainText"/>
        <w:rPr>
          <w:rFonts w:ascii="DIN Pro Regular" w:hAnsi="DIN Pro Regular" w:eastAsia="MS Mincho" w:cs="DIN Pro Regular"/>
          <w:sz w:val="22"/>
          <w:szCs w:val="22"/>
        </w:rPr>
      </w:pPr>
      <w:r>
        <w:rPr>
          <w:rFonts w:eastAsia="MS Mincho" w:cs="DIN Pro Regular" w:ascii="DIN Pro Regular" w:hAnsi="DIN Pro Regular"/>
          <w:sz w:val="22"/>
          <w:szCs w:val="22"/>
        </w:rPr>
        <w:t>Декларация о соответствии ТР ТС 004/2011 “О безопасности низковольтного оборудования”,</w:t>
      </w:r>
    </w:p>
    <w:p>
      <w:pPr>
        <w:pStyle w:val="PlainText"/>
        <w:rPr>
          <w:rFonts w:ascii="DIN Pro Regular" w:hAnsi="DIN Pro Regular" w:eastAsia="MS Mincho" w:cs="DIN Pro Regular"/>
          <w:sz w:val="22"/>
          <w:szCs w:val="22"/>
        </w:rPr>
      </w:pPr>
      <w:r>
        <w:rPr>
          <w:rFonts w:eastAsia="MS Mincho" w:cs="DIN Pro Regular" w:ascii="DIN Pro Regular" w:hAnsi="DIN Pro Regular"/>
          <w:sz w:val="22"/>
          <w:szCs w:val="22"/>
        </w:rPr>
        <w:t>ТР ТС 010/2011 “О безопасности машин и оборудования”,</w:t>
      </w:r>
    </w:p>
    <w:p>
      <w:pPr>
        <w:pStyle w:val="PlainText"/>
        <w:rPr>
          <w:rFonts w:ascii="DIN Pro Regular" w:hAnsi="DIN Pro Regular" w:eastAsia="MS Mincho" w:cs="DIN Pro Regular"/>
          <w:sz w:val="22"/>
          <w:szCs w:val="22"/>
        </w:rPr>
      </w:pPr>
      <w:r>
        <w:rPr>
          <w:rFonts w:eastAsia="MS Mincho" w:cs="DIN Pro Regular" w:ascii="DIN Pro Regular" w:hAnsi="DIN Pro Regular"/>
          <w:sz w:val="22"/>
          <w:szCs w:val="22"/>
        </w:rPr>
        <w:t>ТР ТС 020/2011 “Электромагнитная совместимость технических средств”</w:t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cs="Calibri" w:ascii="Calibri" w:hAnsi="Calibri" w:asciiTheme="minorHAnsi" w:cstheme="minorHAnsi" w:hAnsiTheme="minorHAnsi"/>
          <w:b/>
          <w:bCs/>
          <w:sz w:val="24"/>
          <w:szCs w:val="24"/>
        </w:rPr>
        <w:t>ЕАЭС N RU Д-RU.АБ69.В.03545/20</w:t>
      </w:r>
      <w:r>
        <w:rPr>
          <w:b/>
          <w:sz w:val="24"/>
          <w:szCs w:val="24"/>
        </w:rPr>
        <w:t xml:space="preserve"> </w:t>
      </w:r>
      <w:r>
        <w:rPr>
          <w:rFonts w:eastAsia="MS Mincho" w:cs="DIN Pro Regular" w:ascii="DIN Pro Regular" w:hAnsi="DIN Pro Regular"/>
          <w:sz w:val="22"/>
          <w:szCs w:val="22"/>
        </w:rPr>
        <w:t>действительна по 09.08.2025.</w:t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ЕАЭС N RU Д-RU.РА01.В.93582/21</w:t>
      </w:r>
      <w:r>
        <w:rPr>
          <w:b/>
          <w:sz w:val="24"/>
          <w:szCs w:val="24"/>
        </w:rPr>
        <w:t xml:space="preserve"> </w:t>
      </w:r>
      <w:r>
        <w:rPr>
          <w:rFonts w:eastAsia="MS Mincho" w:cs="DIN Pro Regular" w:ascii="DIN Pro Regular" w:hAnsi="DIN Pro Regular"/>
          <w:sz w:val="22"/>
          <w:szCs w:val="22"/>
        </w:rPr>
        <w:t>действительна по 11.02.2026.</w:t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PlainText"/>
        <w:rPr/>
      </w:pPr>
      <w:r>
        <w:rPr>
          <w:rFonts w:eastAsia="MS Mincho" w:cs="DIN Pro Regular" w:ascii="DIN Pro Regular" w:hAnsi="DIN Pro Regular"/>
          <w:sz w:val="22"/>
          <w:szCs w:val="22"/>
        </w:rPr>
        <w:t xml:space="preserve">Ваши отзывы по работе изделия просим направления производителю ООО </w:t>
      </w:r>
      <w:r>
        <w:rPr>
          <w:rFonts w:eastAsia="MS Mincho" w:cs="DIN Pro Regular" w:ascii="DIN Pro Regular" w:hAnsi="DIN Pro Regular"/>
          <w:sz w:val="22"/>
          <w:szCs w:val="22"/>
        </w:rPr>
        <w:t xml:space="preserve">МП </w:t>
      </w:r>
      <w:r>
        <w:rPr>
          <w:rFonts w:eastAsia="MS Mincho" w:cs="DIN Pro Regular" w:ascii="DIN Pro Regular" w:hAnsi="DIN Pro Regular"/>
          <w:sz w:val="22"/>
          <w:szCs w:val="22"/>
        </w:rPr>
        <w:t>«А</w:t>
      </w:r>
      <w:r>
        <w:rPr>
          <w:rFonts w:eastAsia="MS Mincho" w:cs="DIN Pro Regular" w:ascii="DIN Pro Regular" w:hAnsi="DIN Pro Regular"/>
          <w:sz w:val="22"/>
          <w:szCs w:val="22"/>
        </w:rPr>
        <w:t>ТЕСИ</w:t>
      </w:r>
      <w:r>
        <w:rPr>
          <w:rFonts w:eastAsia="MS Mincho" w:cs="DIN Pro Regular" w:ascii="DIN Pro Regular" w:hAnsi="DIN Pro Regular"/>
          <w:sz w:val="22"/>
          <w:szCs w:val="22"/>
        </w:rPr>
        <w:t xml:space="preserve">»: </w:t>
      </w:r>
    </w:p>
    <w:p>
      <w:pPr>
        <w:pStyle w:val="PlainText"/>
        <w:rPr/>
      </w:pPr>
      <w:r>
        <w:rPr>
          <w:rFonts w:cs="DIN Pro Regular" w:ascii="DIN Pro Regular" w:hAnsi="DIN Pro Regular"/>
          <w:color w:val="000000"/>
          <w:sz w:val="22"/>
          <w:szCs w:val="22"/>
        </w:rPr>
        <w:t>140000, Московская область, г. Люберцы, ул. Красная, д.1 лит. Б-Б1</w:t>
      </w:r>
    </w:p>
    <w:p>
      <w:pPr>
        <w:pStyle w:val="PlainText"/>
        <w:rPr/>
      </w:pPr>
      <w:r>
        <w:rPr>
          <w:rFonts w:eastAsia="MS Mincho" w:cs="DIN Pro Regular" w:ascii="DIN Pro Regular" w:hAnsi="DIN Pro Regular"/>
          <w:sz w:val="22"/>
          <w:szCs w:val="22"/>
        </w:rPr>
        <w:t xml:space="preserve">ООО </w:t>
      </w:r>
      <w:r>
        <w:rPr>
          <w:rFonts w:eastAsia="MS Mincho" w:cs="DIN Pro Regular" w:ascii="DIN Pro Regular" w:hAnsi="DIN Pro Regular"/>
          <w:sz w:val="22"/>
          <w:szCs w:val="22"/>
        </w:rPr>
        <w:t xml:space="preserve">МП </w:t>
      </w:r>
      <w:r>
        <w:rPr>
          <w:rFonts w:eastAsia="MS Mincho" w:cs="DIN Pro Regular" w:ascii="DIN Pro Regular" w:hAnsi="DIN Pro Regular"/>
          <w:sz w:val="22"/>
          <w:szCs w:val="22"/>
        </w:rPr>
        <w:t>«А</w:t>
      </w:r>
      <w:r>
        <w:rPr>
          <w:rFonts w:eastAsia="MS Mincho" w:cs="DIN Pro Regular" w:ascii="DIN Pro Regular" w:hAnsi="DIN Pro Regular"/>
          <w:sz w:val="22"/>
          <w:szCs w:val="22"/>
        </w:rPr>
        <w:t>ТЕСИ</w:t>
      </w:r>
      <w:r>
        <w:rPr>
          <w:rFonts w:eastAsia="MS Mincho" w:cs="DIN Pro Regular" w:ascii="DIN Pro Regular" w:hAnsi="DIN Pro Regular"/>
          <w:sz w:val="22"/>
          <w:szCs w:val="22"/>
        </w:rPr>
        <w:t>»</w:t>
      </w:r>
    </w:p>
    <w:p>
      <w:pPr>
        <w:pStyle w:val="PlainText"/>
        <w:tabs>
          <w:tab w:val="left" w:pos="3285" w:leader="none"/>
        </w:tabs>
        <w:rPr/>
      </w:pPr>
      <w:r>
        <w:rPr>
          <w:rFonts w:eastAsia="MS Mincho" w:cs="DIN Pro Regular" w:ascii="DIN Pro Regular" w:hAnsi="DIN Pro Regular"/>
          <w:bCs/>
          <w:sz w:val="22"/>
          <w:szCs w:val="22"/>
        </w:rPr>
        <w:t xml:space="preserve">Тел. </w:t>
      </w:r>
      <w:r>
        <w:rPr>
          <w:rFonts w:eastAsia="MS Mincho" w:cs="DIN Pro Regular" w:ascii="DIN Pro Regular" w:hAnsi="DIN Pro Regular"/>
          <w:bCs/>
          <w:sz w:val="22"/>
          <w:szCs w:val="22"/>
        </w:rPr>
        <w:t>+</w:t>
      </w:r>
      <w:r>
        <w:rPr>
          <w:rFonts w:eastAsia="MS Mincho" w:cs="DIN Pro Regular" w:ascii="DIN Pro Regular" w:hAnsi="DIN Pro Regular"/>
          <w:bCs/>
          <w:sz w:val="22"/>
          <w:szCs w:val="22"/>
        </w:rPr>
        <w:t>7 (</w:t>
      </w:r>
      <w:r>
        <w:rPr>
          <w:rFonts w:eastAsia="MS Mincho" w:cs="DIN Pro Regular" w:ascii="DIN Pro Regular" w:hAnsi="DIN Pro Regular"/>
          <w:bCs/>
          <w:sz w:val="22"/>
          <w:szCs w:val="22"/>
        </w:rPr>
        <w:t>495</w:t>
      </w:r>
      <w:r>
        <w:rPr>
          <w:rFonts w:eastAsia="MS Mincho" w:cs="DIN Pro Regular" w:ascii="DIN Pro Regular" w:hAnsi="DIN Pro Regular"/>
          <w:bCs/>
          <w:sz w:val="22"/>
          <w:szCs w:val="22"/>
        </w:rPr>
        <w:t xml:space="preserve">) </w:t>
      </w:r>
      <w:r>
        <w:rPr>
          <w:rFonts w:eastAsia="MS Mincho" w:cs="DIN Pro Regular" w:ascii="DIN Pro Regular" w:hAnsi="DIN Pro Regular"/>
          <w:bCs/>
          <w:sz w:val="22"/>
          <w:szCs w:val="22"/>
        </w:rPr>
        <w:t>995-95-99</w:t>
      </w:r>
    </w:p>
    <w:p>
      <w:pPr>
        <w:pStyle w:val="PlainText"/>
        <w:tabs>
          <w:tab w:val="left" w:pos="3285" w:leader="none"/>
        </w:tabs>
        <w:rPr/>
      </w:pPr>
      <w:r>
        <w:rPr>
          <w:rFonts w:eastAsia="MS Mincho" w:cs="DIN Pro Regular" w:ascii="DIN Pro Regular" w:hAnsi="DIN Pro Regular"/>
          <w:bCs/>
          <w:sz w:val="22"/>
          <w:szCs w:val="22"/>
          <w:lang w:val="en-US"/>
        </w:rPr>
        <w:t>Email</w:t>
      </w:r>
      <w:r>
        <w:rPr>
          <w:rFonts w:eastAsia="MS Mincho" w:cs="DIN Pro Regular" w:ascii="DIN Pro Regular" w:hAnsi="DIN Pro Regular"/>
          <w:bCs/>
          <w:sz w:val="22"/>
          <w:szCs w:val="22"/>
        </w:rPr>
        <w:t xml:space="preserve">: </w:t>
      </w:r>
      <w:r>
        <w:rPr>
          <w:rFonts w:eastAsia="MS Mincho" w:cs="DIN Pro Regular" w:ascii="DIN Pro Regular" w:hAnsi="DIN Pro Regular"/>
          <w:bCs/>
          <w:sz w:val="22"/>
          <w:szCs w:val="22"/>
          <w:lang w:val="en-US"/>
        </w:rPr>
        <w:t>info</w:t>
      </w:r>
      <w:r>
        <w:rPr>
          <w:rFonts w:eastAsia="MS Mincho" w:cs="DIN Pro Regular" w:ascii="DIN Pro Regular" w:hAnsi="DIN Pro Regular"/>
          <w:bCs/>
          <w:sz w:val="22"/>
          <w:szCs w:val="22"/>
        </w:rPr>
        <w:t>@</w:t>
      </w:r>
      <w:r>
        <w:rPr>
          <w:rFonts w:eastAsia="MS Mincho" w:cs="DIN Pro Regular" w:ascii="DIN Pro Regular" w:hAnsi="DIN Pro Regular"/>
          <w:bCs/>
          <w:sz w:val="22"/>
          <w:szCs w:val="22"/>
          <w:lang w:val="en-US"/>
        </w:rPr>
        <w:t>atesy</w:t>
      </w:r>
      <w:r>
        <w:rPr>
          <w:rFonts w:eastAsia="MS Mincho" w:cs="DIN Pro Regular" w:ascii="DIN Pro Regular" w:hAnsi="DIN Pro Regular"/>
          <w:bCs/>
          <w:sz w:val="22"/>
          <w:szCs w:val="22"/>
        </w:rPr>
        <w:t>.</w:t>
      </w:r>
      <w:r>
        <w:rPr>
          <w:rFonts w:eastAsia="MS Mincho" w:cs="DIN Pro Regular" w:ascii="DIN Pro Regular" w:hAnsi="DIN Pro Regular"/>
          <w:bCs/>
          <w:sz w:val="22"/>
          <w:szCs w:val="22"/>
          <w:lang w:val="en-US"/>
        </w:rPr>
        <w:t>info</w:t>
      </w:r>
    </w:p>
    <w:sdt>
      <w:sdtPr>
        <w:docPartObj>
          <w:docPartGallery w:val="Table of Contents"/>
          <w:docPartUnique w:val="true"/>
        </w:docPartObj>
        <w:id w:val="2057464599"/>
      </w:sdtPr>
      <w:sdtContent>
        <w:p>
          <w:pPr>
            <w:pStyle w:val="11"/>
            <w:tabs>
              <w:tab w:val="right" w:pos="10479" w:leader="none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bCs w:val="false"/>
              <w:caps w:val="false"/>
              <w:smallCaps w:val="false"/>
              <w:sz w:val="22"/>
              <w:szCs w:val="22"/>
            </w:rPr>
          </w:pPr>
          <w:r>
            <w:fldChar w:fldCharType="begin"/>
          </w:r>
          <w:r>
            <w:rPr>
              <w:webHidden/>
              <w:rStyle w:val="Style20"/>
            </w:rPr>
            <w:instrText> TOC \z \o "1-1" </w:instrText>
          </w:r>
          <w:r>
            <w:rPr>
              <w:webHidden/>
              <w:rStyle w:val="Style20"/>
            </w:rPr>
            <w:fldChar w:fldCharType="separate"/>
          </w:r>
          <w:hyperlink w:anchor="_Toc37354933">
            <w:r>
              <w:rPr>
                <w:webHidden/>
                <w:rStyle w:val="Style20"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"/>
            <w:tabs>
              <w:tab w:val="left" w:pos="400" w:leader="none"/>
              <w:tab w:val="right" w:pos="10479" w:leader="none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bCs w:val="false"/>
              <w:caps w:val="false"/>
              <w:smallCaps w:val="false"/>
              <w:sz w:val="22"/>
              <w:szCs w:val="22"/>
            </w:rPr>
          </w:pPr>
          <w:hyperlink w:anchor="_Toc37354934">
            <w:r>
              <w:rPr>
                <w:webHidden/>
                <w:rStyle w:val="Style20"/>
              </w:rPr>
              <w:t>1.</w:t>
            </w:r>
            <w:r>
              <w:rPr>
                <w:rStyle w:val="Style20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caps w:val="false"/>
                <w:smallCaps w:val="false"/>
                <w:sz w:val="22"/>
                <w:szCs w:val="22"/>
              </w:rPr>
              <w:tab/>
            </w:r>
            <w:r>
              <w:rPr>
                <w:rStyle w:val="Style20"/>
              </w:rPr>
              <w:t>ОБЩИЕ СВЕДЕНИЯ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eastAsia="" w:cs="" w:cstheme="minorBidi" w:eastAsiaTheme="minorEastAsia"/>
              <w:b w:val="false"/>
              <w:b w:val="false"/>
              <w:bCs w:val="false"/>
              <w:sz w:val="22"/>
              <w:szCs w:val="22"/>
            </w:rPr>
          </w:pPr>
          <w:hyperlink w:anchor="_Toc37354935">
            <w:r>
              <w:rPr>
                <w:webHidden/>
                <w:rStyle w:val="Style20"/>
                <w:rFonts w:eastAsia="MS Mincho"/>
              </w:rPr>
              <w:t>1.1.</w:t>
            </w:r>
            <w:r>
              <w:rPr>
                <w:rStyle w:val="Style20"/>
                <w:rFonts w:eastAsia="" w:cs="" w:cstheme="minorBidi" w:eastAsiaTheme="minorEastAsia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20"/>
                <w:rFonts w:eastAsia="MS Mincho"/>
              </w:rPr>
              <w:t>НАЗНАЧЕНИЕ ИЗДЕЛИЯ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eastAsia="" w:cs="" w:cstheme="minorBidi" w:eastAsiaTheme="minorEastAsia"/>
              <w:b w:val="false"/>
              <w:b w:val="false"/>
              <w:bCs w:val="false"/>
              <w:sz w:val="22"/>
              <w:szCs w:val="22"/>
            </w:rPr>
          </w:pPr>
          <w:hyperlink w:anchor="_Toc37354936">
            <w:r>
              <w:rPr>
                <w:webHidden/>
                <w:rStyle w:val="Style20"/>
                <w:rFonts w:eastAsia="MS Mincho"/>
              </w:rPr>
              <w:t>1.2.</w:t>
            </w:r>
            <w:r>
              <w:rPr>
                <w:rStyle w:val="Style20"/>
                <w:rFonts w:eastAsia="" w:cs="" w:cstheme="minorBidi" w:eastAsiaTheme="minorEastAsia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20"/>
                <w:rFonts w:eastAsia="MS Mincho"/>
              </w:rPr>
              <w:t>ТЕХНИЧЕСКИЕ ХАРАКТЕРИСТИКИ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eastAsia="" w:cs="" w:cstheme="minorBidi" w:eastAsiaTheme="minorEastAsia"/>
              <w:b w:val="false"/>
              <w:b w:val="false"/>
              <w:bCs w:val="false"/>
              <w:sz w:val="22"/>
              <w:szCs w:val="22"/>
            </w:rPr>
          </w:pPr>
          <w:hyperlink w:anchor="_Toc37354937">
            <w:r>
              <w:rPr>
                <w:webHidden/>
                <w:rStyle w:val="Style20"/>
                <w:rFonts w:eastAsia="MS Mincho"/>
              </w:rPr>
              <w:t>1.3.</w:t>
            </w:r>
            <w:r>
              <w:rPr>
                <w:rStyle w:val="Style20"/>
                <w:rFonts w:eastAsia="" w:cs="" w:cstheme="minorBidi" w:eastAsiaTheme="minorEastAsia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20"/>
                <w:rFonts w:eastAsia="MS Mincho"/>
              </w:rPr>
              <w:t>УСТРОЙСТВО И РАБОТА ИЗДЕЛИЯ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eastAsia="" w:cs="" w:cstheme="minorBidi" w:eastAsiaTheme="minorEastAsia"/>
              <w:b w:val="false"/>
              <w:b w:val="false"/>
              <w:bCs w:val="false"/>
              <w:sz w:val="22"/>
              <w:szCs w:val="22"/>
            </w:rPr>
          </w:pPr>
          <w:hyperlink w:anchor="_Toc37354938">
            <w:r>
              <w:rPr>
                <w:webHidden/>
                <w:rStyle w:val="Style20"/>
                <w:rFonts w:eastAsia="MS Mincho"/>
              </w:rPr>
              <w:t>1.4.</w:t>
            </w:r>
            <w:r>
              <w:rPr>
                <w:rStyle w:val="Style20"/>
                <w:rFonts w:eastAsia="" w:cs="" w:cstheme="minorBidi" w:eastAsiaTheme="minorEastAsia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20"/>
                <w:rFonts w:eastAsia="MS Mincho"/>
              </w:rPr>
              <w:t>СВИДЕТЕЛЬСТВО О ПРИЕМКЕ</w:t>
            </w:r>
            <w:r>
              <w:rPr>
                <w:rStyle w:val="Style20"/>
                <w:vanish w:val="false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  <w:lang w:val="en-US"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"/>
            <w:tabs>
              <w:tab w:val="left" w:pos="400" w:leader="none"/>
              <w:tab w:val="right" w:pos="10479" w:leader="none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bCs w:val="false"/>
              <w:caps w:val="false"/>
              <w:smallCaps w:val="false"/>
              <w:sz w:val="22"/>
              <w:szCs w:val="22"/>
            </w:rPr>
          </w:pPr>
          <w:hyperlink w:anchor="_Toc37354939">
            <w:r>
              <w:rPr>
                <w:webHidden/>
                <w:rStyle w:val="Style20"/>
              </w:rPr>
              <w:t>2.</w:t>
            </w:r>
            <w:r>
              <w:rPr>
                <w:rStyle w:val="Style20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caps w:val="false"/>
                <w:smallCaps w:val="false"/>
                <w:sz w:val="22"/>
                <w:szCs w:val="22"/>
              </w:rPr>
              <w:tab/>
            </w:r>
            <w:r>
              <w:rPr>
                <w:rStyle w:val="Style20"/>
              </w:rPr>
              <w:t>ПАСПОРТНЫЕ ДАННЫЕ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_Toc37354939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eastAsia="" w:cs="" w:cstheme="minorBidi" w:eastAsiaTheme="minorEastAsia"/>
              <w:b w:val="false"/>
              <w:b w:val="false"/>
              <w:bCs w:val="false"/>
              <w:sz w:val="22"/>
              <w:szCs w:val="22"/>
            </w:rPr>
          </w:pPr>
          <w:hyperlink w:anchor="_Toc37354940">
            <w:r>
              <w:rPr>
                <w:webHidden/>
                <w:rStyle w:val="Style20"/>
                <w:rFonts w:eastAsia="MS Mincho"/>
              </w:rPr>
              <w:t>2.1</w:t>
            </w:r>
            <w:r>
              <w:rPr>
                <w:rStyle w:val="Style20"/>
                <w:rFonts w:eastAsia="" w:cs="" w:cstheme="minorBidi" w:eastAsiaTheme="minorEastAsia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20"/>
                <w:rFonts w:eastAsia="MS Mincho"/>
              </w:rPr>
              <w:t>КОМПЛЕКТНОСТЬ ПОСТАВКИ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eastAsia="" w:cs="" w:cstheme="minorBidi" w:eastAsiaTheme="minorEastAsia"/>
              <w:b w:val="false"/>
              <w:b w:val="false"/>
              <w:bCs w:val="false"/>
              <w:sz w:val="22"/>
              <w:szCs w:val="22"/>
            </w:rPr>
          </w:pPr>
          <w:hyperlink w:anchor="_Toc37354941">
            <w:r>
              <w:rPr>
                <w:webHidden/>
                <w:rStyle w:val="Style20"/>
                <w:rFonts w:eastAsia="MS Mincho"/>
              </w:rPr>
              <w:t>2.2</w:t>
            </w:r>
            <w:r>
              <w:rPr>
                <w:rStyle w:val="Style20"/>
                <w:rFonts w:eastAsia="" w:cs="" w:cstheme="minorBidi" w:eastAsiaTheme="minorEastAsia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20"/>
                <w:rFonts w:eastAsia="MS Mincho"/>
              </w:rPr>
              <w:t>ГАРАНТИЙНЫЕ ОБЯЗАТЕЛЬСТВА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"/>
            <w:tabs>
              <w:tab w:val="left" w:pos="400" w:leader="none"/>
              <w:tab w:val="right" w:pos="10479" w:leader="none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bCs w:val="false"/>
              <w:caps w:val="false"/>
              <w:smallCaps w:val="false"/>
              <w:sz w:val="22"/>
              <w:szCs w:val="22"/>
            </w:rPr>
          </w:pPr>
          <w:hyperlink w:anchor="_Toc37354942">
            <w:r>
              <w:rPr>
                <w:webHidden/>
                <w:rStyle w:val="Style20"/>
              </w:rPr>
              <w:t>3.</w:t>
            </w:r>
            <w:r>
              <w:rPr>
                <w:rStyle w:val="Style20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caps w:val="false"/>
                <w:smallCaps w:val="false"/>
                <w:sz w:val="22"/>
                <w:szCs w:val="22"/>
              </w:rPr>
              <w:tab/>
            </w:r>
            <w:r>
              <w:rPr>
                <w:rStyle w:val="Style20"/>
              </w:rPr>
              <w:t>ИСПОЛЬЗОВАНИЕ ПО НАЗНАЧЕНИЮ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eastAsia="" w:cs="" w:cstheme="minorBidi" w:eastAsiaTheme="minorEastAsia"/>
              <w:b w:val="false"/>
              <w:b w:val="false"/>
              <w:bCs w:val="false"/>
              <w:sz w:val="22"/>
              <w:szCs w:val="22"/>
            </w:rPr>
          </w:pPr>
          <w:hyperlink w:anchor="_Toc37354943">
            <w:r>
              <w:rPr>
                <w:webHidden/>
                <w:rStyle w:val="Style20"/>
                <w:rFonts w:eastAsia="MS Mincho"/>
              </w:rPr>
              <w:t>3.1 ОБЩИЕ УКАЗАНИЯ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eastAsia="" w:cs="" w:cstheme="minorBidi" w:eastAsiaTheme="minorEastAsia"/>
              <w:b w:val="false"/>
              <w:b w:val="false"/>
              <w:bCs w:val="false"/>
              <w:sz w:val="22"/>
              <w:szCs w:val="22"/>
            </w:rPr>
          </w:pPr>
          <w:hyperlink w:anchor="_Toc37354944">
            <w:r>
              <w:rPr>
                <w:webHidden/>
                <w:rStyle w:val="Style20"/>
                <w:rFonts w:eastAsia="MS Mincho"/>
              </w:rPr>
              <w:t>3.2 МЕРЫ БЕЗОПАСНОСТИ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eastAsia="" w:cs="" w:cstheme="minorBidi" w:eastAsiaTheme="minorEastAsia"/>
              <w:b w:val="false"/>
              <w:b w:val="false"/>
              <w:bCs w:val="false"/>
              <w:sz w:val="22"/>
              <w:szCs w:val="22"/>
            </w:rPr>
          </w:pPr>
          <w:hyperlink w:anchor="_Toc37354945">
            <w:r>
              <w:rPr>
                <w:webHidden/>
                <w:rStyle w:val="Style20"/>
                <w:rFonts w:eastAsia="MS Mincho"/>
              </w:rPr>
              <w:t>3.3. УСТАНОВКА ИЗДЕЛИЯ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eastAsia="" w:cs="" w:cstheme="minorBidi" w:eastAsiaTheme="minorEastAsia"/>
              <w:b w:val="false"/>
              <w:b w:val="false"/>
              <w:bCs w:val="false"/>
              <w:sz w:val="22"/>
              <w:szCs w:val="22"/>
            </w:rPr>
          </w:pPr>
          <w:hyperlink w:anchor="_Toc37354946">
            <w:r>
              <w:rPr>
                <w:webHidden/>
                <w:rStyle w:val="Style20"/>
                <w:rFonts w:eastAsia="MS Mincho"/>
              </w:rPr>
              <w:t>3.4. ПОРЯДОК РАБОТЫ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1"/>
            <w:tabs>
              <w:tab w:val="right" w:pos="10479" w:leader="none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bCs w:val="false"/>
              <w:caps w:val="false"/>
              <w:smallCaps w:val="false"/>
              <w:sz w:val="22"/>
              <w:szCs w:val="22"/>
            </w:rPr>
          </w:pPr>
          <w:hyperlink w:anchor="_Toc37354947">
            <w:r>
              <w:rPr>
                <w:webHidden/>
                <w:rStyle w:val="Style20"/>
              </w:rPr>
              <w:t>4. ТЕХНИЧЕСКОЕ ОБСЛУЖИВАНИЕ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eastAsia="" w:cs="" w:cstheme="minorBidi" w:eastAsiaTheme="minorEastAsia"/>
              <w:b w:val="false"/>
              <w:b w:val="false"/>
              <w:bCs w:val="false"/>
              <w:sz w:val="22"/>
              <w:szCs w:val="22"/>
            </w:rPr>
          </w:pPr>
          <w:hyperlink w:anchor="_Toc37354948">
            <w:r>
              <w:rPr>
                <w:webHidden/>
                <w:rStyle w:val="Style20"/>
                <w:rFonts w:eastAsia="MS Mincho"/>
              </w:rPr>
              <w:t>4.1. ОБЩИЕ УКАЗАНИЯ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eastAsia="" w:cs="" w:cstheme="minorBidi" w:eastAsiaTheme="minorEastAsia"/>
              <w:b w:val="false"/>
              <w:b w:val="false"/>
              <w:bCs w:val="false"/>
              <w:sz w:val="22"/>
              <w:szCs w:val="22"/>
            </w:rPr>
          </w:pPr>
          <w:hyperlink w:anchor="_Toc37354949">
            <w:r>
              <w:rPr>
                <w:webHidden/>
                <w:rStyle w:val="Style20"/>
                <w:rFonts w:eastAsia="Trebuchet MS"/>
              </w:rPr>
              <w:t>АКТ ПУСКА В ЭКСПЛУАТАЦИЮ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_Toc37354949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eastAsia="" w:cs="" w:cstheme="minorBidi" w:eastAsiaTheme="minorEastAsia"/>
              <w:b w:val="false"/>
              <w:b w:val="false"/>
              <w:bCs w:val="false"/>
              <w:sz w:val="22"/>
              <w:szCs w:val="22"/>
            </w:rPr>
          </w:pPr>
          <w:hyperlink w:anchor="_Toc37354950">
            <w:r>
              <w:rPr>
                <w:webHidden/>
                <w:rStyle w:val="Style20"/>
                <w:rFonts w:eastAsia="Trebuchet MS"/>
              </w:rPr>
              <w:t>АКТ ТЕХНИЧЕСКОГО СОСТОЯНИЯ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_Toc37354950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20"/>
                <w:vanish w:val="false"/>
              </w:rPr>
              <w:tab/>
              <w:t>34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numPr>
              <w:ilvl w:val="0"/>
              <w:numId w:val="0"/>
            </w:numPr>
            <w:outlineLvl w:val="2"/>
            <w:rPr/>
          </w:pPr>
          <w:r>
            <w:rPr/>
          </w:r>
          <w:r>
            <w:rPr/>
            <w:fldChar w:fldCharType="end"/>
          </w:r>
        </w:p>
      </w:sdtContent>
    </w:sdt>
    <w:p>
      <w:pPr>
        <w:pStyle w:val="Normal"/>
        <w:spacing w:before="0" w:after="0"/>
        <w:jc w:val="left"/>
        <w:rPr>
          <w:rFonts w:ascii="Cambria" w:hAnsi="Cambria" w:eastAsia="" w:cs="" w:asciiTheme="majorHAnsi" w:cstheme="majorBidi" w:eastAsiaTheme="majorEastAsia" w:hAnsiTheme="majorHAnsi"/>
          <w:color w:val="365F91" w:themeColor="accent1" w:themeShade="bf"/>
          <w:sz w:val="26"/>
          <w:szCs w:val="26"/>
        </w:rPr>
      </w:pPr>
      <w:r>
        <w:rPr>
          <w:rFonts w:eastAsia="" w:cs="" w:cstheme="majorBidi" w:eastAsiaTheme="majorEastAsia" w:ascii="Cambria" w:hAnsi="Cambria"/>
          <w:color w:val="365F91" w:themeColor="accent1" w:themeShade="bf"/>
          <w:sz w:val="26"/>
          <w:szCs w:val="26"/>
        </w:rPr>
      </w:r>
      <w:r>
        <w:br w:type="page"/>
      </w:r>
    </w:p>
    <w:p>
      <w:pPr>
        <w:pStyle w:val="1"/>
        <w:rPr/>
      </w:pPr>
      <w:bookmarkStart w:id="0" w:name="_Toc37354933"/>
      <w:r>
        <w:rPr/>
        <w:t>ВВЕДЕНИЕ</w:t>
      </w:r>
      <w:bookmarkEnd w:id="0"/>
    </w:p>
    <w:p>
      <w:pPr>
        <w:pStyle w:val="PlainText"/>
        <w:rPr/>
      </w:pPr>
      <w:r>
        <w:rPr>
          <w:rFonts w:eastAsia="MS Mincho" w:cs="DIN Pro Regular" w:ascii="DIN Pro Regular" w:hAnsi="DIN Pro Regular"/>
          <w:b/>
          <w:sz w:val="22"/>
          <w:szCs w:val="22"/>
        </w:rPr>
        <w:t xml:space="preserve">Благодарим Вас за покупку холодильного шкафа ТМ </w:t>
      </w:r>
      <w:r>
        <w:rPr>
          <w:rFonts w:eastAsia="MS Mincho" w:cs="DIN Pro Regular" w:ascii="DIN Pro Regular" w:hAnsi="DIN Pro Regular"/>
          <w:b/>
          <w:sz w:val="22"/>
          <w:szCs w:val="22"/>
          <w:lang w:val="en-US"/>
        </w:rPr>
        <w:t>ATESY</w:t>
      </w:r>
      <w:r>
        <w:rPr>
          <w:rFonts w:eastAsia="MS Mincho" w:cs="DIN Pro Regular" w:ascii="DIN Pro Regular" w:hAnsi="DIN Pro Regular"/>
          <w:b/>
          <w:sz w:val="22"/>
          <w:szCs w:val="22"/>
        </w:rPr>
        <w:t>.</w:t>
      </w:r>
    </w:p>
    <w:p>
      <w:pPr>
        <w:pStyle w:val="PlainText"/>
        <w:rPr>
          <w:rFonts w:ascii="DIN Pro Regular" w:hAnsi="DIN Pro Regular" w:eastAsia="MS Mincho" w:cs="DIN Pro Regular"/>
        </w:rPr>
      </w:pPr>
      <w:r>
        <w:rPr>
          <w:rFonts w:eastAsia="MS Mincho" w:cs="DIN Pro Regular" w:ascii="DIN Pro Regular" w:hAnsi="DIN Pro Regular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>
      <w:pPr>
        <w:pStyle w:val="PlainText"/>
        <w:rPr/>
      </w:pPr>
      <w:r>
        <w:rPr>
          <w:rFonts w:eastAsia="MS Mincho" w:cs="DIN Pro Regular" w:ascii="DIN Pro Regular" w:hAnsi="DIN Pro Regular"/>
        </w:rPr>
        <w:t xml:space="preserve">Монтаж, пуско-наладочные работы и техническое обслуживание шкафа имеют право производить сервисные центры организаций Поставщиков или Продавцов торгово-холодильного оборудования </w:t>
      </w:r>
      <w:r>
        <w:rPr>
          <w:rFonts w:eastAsia="MS Mincho" w:cs="DIN Pro Regular" w:ascii="DIN Pro Regular" w:hAnsi="DIN Pro Regular"/>
          <w:b/>
          <w:lang w:val="en-US"/>
        </w:rPr>
        <w:t>ATESY</w:t>
      </w:r>
      <w:r>
        <w:rPr>
          <w:rFonts w:eastAsia="MS Mincho" w:cs="DIN Pro Regular" w:ascii="DIN Pro Regular" w:hAnsi="DIN Pro Regular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>
      <w:pPr>
        <w:pStyle w:val="PlainText"/>
        <w:rPr>
          <w:rFonts w:ascii="DIN Pro Regular" w:hAnsi="DIN Pro Regular" w:eastAsia="MS Mincho" w:cs="DIN Pro Regular"/>
        </w:rPr>
      </w:pPr>
      <w:r>
        <w:rPr>
          <w:rFonts w:eastAsia="MS Mincho" w:cs="DIN Pro Regular" w:ascii="DIN Pro Regular" w:hAnsi="DIN Pro Regular"/>
        </w:rPr>
        <w:t>Настоящее руководство включает в себя паспортные данные.</w:t>
      </w:r>
    </w:p>
    <w:p>
      <w:pPr>
        <w:pStyle w:val="Style22"/>
        <w:tabs>
          <w:tab w:val="clear" w:pos="8931"/>
        </w:tabs>
        <w:rPr>
          <w:rFonts w:ascii="DIN Pro Regular" w:hAnsi="DIN Pro Regular" w:cs="DIN Pro Regular"/>
          <w:sz w:val="22"/>
          <w:szCs w:val="22"/>
        </w:rPr>
      </w:pPr>
      <w:r>
        <w:rPr>
          <w:rFonts w:cs="DIN Pro Regular" w:ascii="DIN Pro Regular" w:hAnsi="DIN Pro Regular"/>
          <w:sz w:val="22"/>
          <w:szCs w:val="22"/>
        </w:rPr>
        <w:t>Внимание!</w:t>
      </w:r>
      <w:r>
        <w:rPr>
          <w:rFonts w:cs="DIN Pro Regular" w:ascii="DIN Pro Regular" w:hAnsi="DIN Pro Regular"/>
          <w:b w:val="false"/>
          <w:sz w:val="22"/>
          <w:szCs w:val="22"/>
        </w:rPr>
        <w:t xml:space="preserve"> </w:t>
      </w:r>
      <w:r>
        <w:rPr>
          <w:rFonts w:cs="DIN Pro Regular" w:ascii="DIN Pro Regular" w:hAnsi="DIN Pro Regular"/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>
      <w:pPr>
        <w:pStyle w:val="1"/>
        <w:numPr>
          <w:ilvl w:val="0"/>
          <w:numId w:val="3"/>
        </w:numPr>
        <w:rPr/>
      </w:pPr>
      <w:bookmarkStart w:id="1" w:name="_Toc37354934"/>
      <w:r>
        <w:rPr/>
        <w:t>ОБЩИЕ СВЕДЕНИЯ</w:t>
      </w:r>
      <w:bookmarkEnd w:id="1"/>
      <w:r>
        <w:rPr/>
        <w:t xml:space="preserve"> </w:t>
      </w:r>
    </w:p>
    <w:p>
      <w:pPr>
        <w:pStyle w:val="Style30"/>
        <w:numPr>
          <w:ilvl w:val="1"/>
          <w:numId w:val="3"/>
        </w:numPr>
        <w:rPr>
          <w:rFonts w:eastAsia="MS Mincho"/>
          <w:sz w:val="24"/>
          <w:szCs w:val="24"/>
        </w:rPr>
      </w:pPr>
      <w:bookmarkStart w:id="2" w:name="_Toc37354935"/>
      <w:r>
        <w:rPr>
          <w:rFonts w:eastAsia="MS Mincho"/>
          <w:sz w:val="24"/>
          <w:szCs w:val="24"/>
        </w:rPr>
        <w:t>НАЗНАЧЕНИЕ ИЗДЕЛИЯ</w:t>
      </w:r>
      <w:bookmarkEnd w:id="2"/>
    </w:p>
    <w:p>
      <w:pPr>
        <w:pStyle w:val="Normal"/>
        <w:spacing w:before="0" w:after="0"/>
        <w:rPr>
          <w:rFonts w:eastAsia="MS Mincho"/>
        </w:rPr>
      </w:pPr>
      <w:r>
        <w:rPr>
          <w:rFonts w:eastAsia="MS Mincho"/>
        </w:rPr>
        <w:t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(напитков) на предприятиях торговли и общественного питания.</w:t>
      </w:r>
    </w:p>
    <w:p>
      <w:pPr>
        <w:pStyle w:val="Normal"/>
        <w:spacing w:before="0" w:after="0"/>
        <w:rPr>
          <w:rFonts w:eastAsia="MS Mincho"/>
        </w:rPr>
      </w:pPr>
      <w:r>
        <w:rPr>
          <w:rFonts w:eastAsia="MS Mincho"/>
        </w:rPr>
        <w:t>Шкафы с глухой дверью предназначены для эксплуатации в закрытом помещении с естественной вентиляцией при температуре окружающего воздуха от плюс 12°С до плюс 40°С и относительной влажности не более 80%. Климатический класс 5.</w:t>
      </w:r>
    </w:p>
    <w:p>
      <w:pPr>
        <w:pStyle w:val="Normal"/>
        <w:spacing w:before="0" w:after="0"/>
        <w:rPr>
          <w:rFonts w:eastAsia="MS Mincho"/>
        </w:rPr>
      </w:pPr>
      <w:r>
        <w:rPr>
          <w:rFonts w:eastAsia="MS Mincho"/>
        </w:rPr>
        <w:t>Шкафы среднетемпературные и высокотемпературные со стеклянной дверью предназначены для эксплуатации в закрытом помещении с естественной вентиляцией при температуре окружающего воздуха от плюс 12°С до плюс 32°С и относительной влажности не более 60%. Климатический класс 4.</w:t>
      </w:r>
    </w:p>
    <w:p>
      <w:pPr>
        <w:pStyle w:val="Normal"/>
        <w:spacing w:before="0" w:after="0"/>
        <w:rPr>
          <w:rFonts w:eastAsia="MS Mincho"/>
        </w:rPr>
      </w:pPr>
      <w:r>
        <w:rPr>
          <w:rFonts w:eastAsia="MS Mincho"/>
        </w:rPr>
        <w:t xml:space="preserve">Шкафы низкотемпературные со стеклянной дверью предназначены для эксплуатации в закрытом помещении с естественной вентиляцией при температуре окружающего воздуха от плюс 12°С до плюс 25°С и относительной влажности не более 60%. Климатический класс 3. </w:t>
      </w:r>
    </w:p>
    <w:p>
      <w:pPr>
        <w:pStyle w:val="Normal"/>
        <w:spacing w:before="0" w:after="0"/>
        <w:rPr>
          <w:rFonts w:eastAsia="MS Mincho"/>
        </w:rPr>
      </w:pPr>
      <w:r>
        <w:rPr>
          <w:rFonts w:eastAsia="MS Mincho"/>
        </w:rPr>
      </w:r>
    </w:p>
    <w:p>
      <w:pPr>
        <w:pStyle w:val="Style30"/>
        <w:numPr>
          <w:ilvl w:val="1"/>
          <w:numId w:val="3"/>
        </w:numPr>
        <w:rPr>
          <w:rFonts w:eastAsia="MS Mincho"/>
          <w:sz w:val="24"/>
          <w:szCs w:val="24"/>
        </w:rPr>
      </w:pPr>
      <w:bookmarkStart w:id="3" w:name="_Toc37354936"/>
      <w:r>
        <w:rPr>
          <w:rFonts w:eastAsia="MS Mincho"/>
          <w:sz w:val="24"/>
          <w:szCs w:val="24"/>
        </w:rPr>
        <w:t>ТЕХНИЧЕСКИЕ ХАРАКТЕРИСТИКИ</w:t>
      </w:r>
      <w:bookmarkEnd w:id="3"/>
    </w:p>
    <w:p>
      <w:pPr>
        <w:pStyle w:val="PlainText"/>
        <w:rPr>
          <w:rFonts w:ascii="DIN Pro Regular" w:hAnsi="DIN Pro Regular" w:eastAsia="MS Mincho" w:cs="DIN Pro Regular"/>
        </w:rPr>
      </w:pPr>
      <w:r>
        <w:rPr>
          <w:rFonts w:eastAsia="MS Mincho" w:cs="DIN Pro Regular" w:ascii="DIN Pro Regular" w:hAnsi="DIN Pro Regular"/>
        </w:rPr>
        <w:t xml:space="preserve">Шкафы подразделяются по температурному режиму на среднетемпературные </w:t>
      </w:r>
      <w:r>
        <w:rPr>
          <w:rFonts w:eastAsia="MS Mincho" w:cs="DIN Pro Regular" w:ascii="DIN Pro Regular" w:hAnsi="DIN Pro Regular"/>
          <w:lang w:val="en-US"/>
        </w:rPr>
        <w:t>R</w:t>
      </w:r>
      <w:r>
        <w:rPr>
          <w:rFonts w:eastAsia="MS Mincho" w:cs="DIN Pro Regular" w:ascii="DIN Pro Regular" w:hAnsi="DIN Pro Regular"/>
        </w:rPr>
        <w:t xml:space="preserve">, </w:t>
      </w:r>
      <w:r>
        <w:rPr>
          <w:rFonts w:eastAsia="MS Mincho" w:cs="DIN Pro Regular" w:ascii="DIN Pro Regular" w:hAnsi="DIN Pro Regular"/>
          <w:lang w:val="en-US"/>
        </w:rPr>
        <w:t>V</w:t>
      </w:r>
      <w:r>
        <w:rPr>
          <w:rFonts w:eastAsia="MS Mincho" w:cs="DIN Pro Regular" w:ascii="DIN Pro Regular" w:hAnsi="DIN Pro Regular"/>
        </w:rPr>
        <w:t xml:space="preserve">, низкотемпературные </w:t>
      </w:r>
      <w:r>
        <w:rPr>
          <w:rFonts w:eastAsia="MS Mincho" w:cs="DIN Pro Regular" w:ascii="DIN Pro Regular" w:hAnsi="DIN Pro Regular"/>
          <w:lang w:val="en-US"/>
        </w:rPr>
        <w:t>F</w:t>
      </w:r>
      <w:r>
        <w:rPr>
          <w:rFonts w:eastAsia="MS Mincho" w:cs="DIN Pro Regular" w:ascii="DIN Pro Regular" w:hAnsi="DIN Pro Regular"/>
        </w:rPr>
        <w:t xml:space="preserve">, высокотемпературные </w:t>
      </w:r>
      <w:r>
        <w:rPr>
          <w:rFonts w:eastAsia="MS Mincho" w:cs="DIN Pro Regular" w:ascii="DIN Pro Regular" w:hAnsi="DIN Pro Regular"/>
          <w:lang w:val="en-US"/>
        </w:rPr>
        <w:t>D</w:t>
      </w:r>
      <w:r>
        <w:rPr>
          <w:rFonts w:eastAsia="MS Mincho" w:cs="DIN Pro Regular" w:ascii="DIN Pro Regular" w:hAnsi="DIN Pro Regular"/>
        </w:rPr>
        <w:t>.</w:t>
      </w:r>
    </w:p>
    <w:tbl>
      <w:tblPr>
        <w:tblW w:w="7371" w:type="dxa"/>
        <w:jc w:val="left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969"/>
        <w:gridCol w:w="3401"/>
      </w:tblGrid>
      <w:tr>
        <w:trPr>
          <w:trHeight w:val="255" w:hRule="atLeast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</w:rPr>
            </w:pPr>
            <w:r>
              <w:rPr>
                <w:rFonts w:eastAsia="MS Mincho" w:cs="DIN Pro Regular" w:ascii="DIN Pro Regular" w:hAnsi="DIN Pro Regular"/>
              </w:rPr>
              <w:t>Кодировка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</w:rPr>
            </w:pPr>
            <w:r>
              <w:rPr>
                <w:rFonts w:eastAsia="MS Mincho" w:cs="DIN Pro Regular" w:ascii="DIN Pro Regular" w:hAnsi="DIN Pro Regular"/>
              </w:rPr>
              <w:t>Расшифровка</w:t>
            </w:r>
          </w:p>
        </w:tc>
      </w:tr>
      <w:tr>
        <w:trPr>
          <w:trHeight w:val="307" w:hRule="atLeast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0" w:after="0"/>
              <w:rPr>
                <w:rFonts w:ascii="DIN Pro Regular" w:hAnsi="DIN Pro Regular" w:eastAsia="MS Mincho" w:cs="DIN Pro Regular"/>
                <w:b/>
                <w:b/>
              </w:rPr>
            </w:pPr>
            <w:r>
              <w:rPr>
                <w:rFonts w:eastAsia="MS Mincho" w:cs="DIN Pro Regular" w:ascii="DIN Pro Regular" w:hAnsi="DIN Pro Regular"/>
                <w:b/>
              </w:rPr>
              <w:t>Шкафы с металлическими дверями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0" w:after="0"/>
              <w:rPr>
                <w:rFonts w:ascii="DIN Pro Regular" w:hAnsi="DIN Pro Regular" w:eastAsia="MS Mincho" w:cs="DIN Pro Regular"/>
                <w:lang w:val="en-US"/>
              </w:rPr>
            </w:pPr>
            <w:r>
              <w:rPr>
                <w:rFonts w:eastAsia="MS Mincho" w:cs="DIN Pro Regular" w:ascii="DIN Pro Regular" w:hAnsi="DIN Pro Regular"/>
                <w:lang w:val="en-US"/>
              </w:rPr>
            </w:r>
          </w:p>
        </w:tc>
      </w:tr>
      <w:tr>
        <w:trPr>
          <w:trHeight w:val="255" w:hRule="atLeast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0" w:after="0"/>
              <w:rPr>
                <w:rFonts w:ascii="DIN Pro Regular" w:hAnsi="DIN Pro Regular" w:eastAsia="MS Mincho" w:cs="DIN Pro Regular"/>
              </w:rPr>
            </w:pPr>
            <w:r>
              <w:rPr>
                <w:rFonts w:eastAsia="MS Mincho" w:cs="DIN Pro Regular" w:ascii="DIN Pro Regular" w:hAnsi="DIN Pro Regular"/>
                <w:lang w:val="en-US"/>
              </w:rPr>
              <w:t>R</w:t>
            </w:r>
            <w:r>
              <w:rPr>
                <w:rFonts w:eastAsia="MS Mincho" w:cs="DIN Pro Regular" w:ascii="DIN Pro Regular" w:hAnsi="DIN Pro Regular"/>
              </w:rPr>
              <w:t xml:space="preserve"> (</w:t>
            </w:r>
            <w:r>
              <w:rPr>
                <w:rFonts w:eastAsia="MS Mincho" w:cs="DIN Pro Regular" w:ascii="DIN Pro Regular" w:hAnsi="DIN Pro Regular"/>
                <w:lang w:val="en-US"/>
              </w:rPr>
              <w:t>Refrigerator)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0" w:after="0"/>
              <w:rPr>
                <w:rFonts w:ascii="DIN Pro Regular" w:hAnsi="DIN Pro Regular" w:eastAsia="MS Mincho" w:cs="DIN Pro Regular"/>
              </w:rPr>
            </w:pPr>
            <w:r>
              <w:rPr>
                <w:rFonts w:eastAsia="MS Mincho" w:cs="DIN Pro Regular" w:ascii="DIN Pro Regular" w:hAnsi="DIN Pro Regular"/>
              </w:rPr>
              <w:t>Шкаф среднетемпературный</w:t>
            </w:r>
          </w:p>
        </w:tc>
      </w:tr>
      <w:tr>
        <w:trPr>
          <w:trHeight w:val="255" w:hRule="atLeast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0" w:after="0"/>
              <w:rPr>
                <w:rFonts w:ascii="DIN Pro Regular" w:hAnsi="DIN Pro Regular" w:eastAsia="MS Mincho" w:cs="DIN Pro Regular"/>
                <w:lang w:val="en-US"/>
              </w:rPr>
            </w:pPr>
            <w:r>
              <w:rPr>
                <w:rFonts w:eastAsia="MS Mincho" w:cs="DIN Pro Regular" w:ascii="DIN Pro Regular" w:hAnsi="DIN Pro Regular"/>
                <w:lang w:val="en-US"/>
              </w:rPr>
              <w:t>F</w:t>
            </w:r>
            <w:r>
              <w:rPr>
                <w:rFonts w:eastAsia="MS Mincho" w:cs="DIN Pro Regular" w:ascii="DIN Pro Regular" w:hAnsi="DIN Pro Regular"/>
              </w:rPr>
              <w:t xml:space="preserve"> (</w:t>
            </w:r>
            <w:r>
              <w:rPr>
                <w:rFonts w:eastAsia="MS Mincho" w:cs="DIN Pro Regular" w:ascii="DIN Pro Regular" w:hAnsi="DIN Pro Regular"/>
                <w:lang w:val="en-US"/>
              </w:rPr>
              <w:t>Freezer)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0" w:after="0"/>
              <w:rPr>
                <w:rFonts w:ascii="DIN Pro Regular" w:hAnsi="DIN Pro Regular" w:eastAsia="MS Mincho" w:cs="DIN Pro Regular"/>
              </w:rPr>
            </w:pPr>
            <w:r>
              <w:rPr>
                <w:rFonts w:eastAsia="MS Mincho" w:cs="DIN Pro Regular" w:ascii="DIN Pro Regular" w:hAnsi="DIN Pro Regular"/>
              </w:rPr>
              <w:t>Шкаф низкотемпературный</w:t>
            </w:r>
          </w:p>
        </w:tc>
      </w:tr>
      <w:tr>
        <w:trPr>
          <w:trHeight w:val="255" w:hRule="atLeast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0" w:after="0"/>
              <w:rPr>
                <w:rFonts w:ascii="DIN Pro Regular" w:hAnsi="DIN Pro Regular" w:eastAsia="MS Mincho" w:cs="DIN Pro Regular"/>
                <w:lang w:val="en-US"/>
              </w:rPr>
            </w:pPr>
            <w:r>
              <w:rPr>
                <w:rFonts w:eastAsia="MS Mincho" w:cs="DIN Pro Regular" w:ascii="DIN Pro Regular" w:hAnsi="DIN Pro Regular"/>
                <w:lang w:val="en-US"/>
              </w:rPr>
              <w:t>V (Variable)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0" w:after="0"/>
              <w:rPr>
                <w:rFonts w:ascii="DIN Pro Regular" w:hAnsi="DIN Pro Regular" w:eastAsia="MS Mincho" w:cs="DIN Pro Regular"/>
              </w:rPr>
            </w:pPr>
            <w:r>
              <w:rPr>
                <w:rFonts w:eastAsia="MS Mincho" w:cs="DIN Pro Regular" w:ascii="DIN Pro Regular" w:hAnsi="DIN Pro Regular"/>
              </w:rPr>
              <w:t>Шкаф среднетемпературный</w:t>
            </w:r>
          </w:p>
        </w:tc>
      </w:tr>
      <w:tr>
        <w:trPr>
          <w:trHeight w:val="255" w:hRule="atLeast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0" w:after="0"/>
              <w:rPr>
                <w:rFonts w:ascii="DIN Pro Regular" w:hAnsi="DIN Pro Regular" w:eastAsia="MS Mincho" w:cs="DIN Pro Regular"/>
                <w:lang w:val="en-US"/>
              </w:rPr>
            </w:pPr>
            <w:r>
              <w:rPr>
                <w:rFonts w:eastAsia="MS Mincho" w:cs="DIN Pro Regular" w:ascii="DIN Pro Regular" w:hAnsi="DIN Pro Regular"/>
                <w:lang w:val="en-US"/>
              </w:rPr>
              <w:t>D (Demonstration)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0" w:after="0"/>
              <w:rPr>
                <w:rFonts w:ascii="DIN Pro Regular" w:hAnsi="DIN Pro Regular" w:eastAsia="MS Mincho" w:cs="DIN Pro Regular"/>
              </w:rPr>
            </w:pPr>
            <w:r>
              <w:rPr>
                <w:rFonts w:eastAsia="MS Mincho" w:cs="DIN Pro Regular" w:ascii="DIN Pro Regular" w:hAnsi="DIN Pro Regular"/>
              </w:rPr>
              <w:t>Шкаф высокотемпературный</w:t>
            </w:r>
          </w:p>
        </w:tc>
      </w:tr>
    </w:tbl>
    <w:p>
      <w:pPr>
        <w:pStyle w:val="Normal"/>
        <w:rPr>
          <w:rFonts w:eastAsia="MS Mincho"/>
        </w:rPr>
      </w:pPr>
      <w:r>
        <w:rPr>
          <w:rFonts w:eastAsia="MS Mincho"/>
        </w:rPr>
        <w:t>Основные технические характеристики шкафов представлены в таблице 1.</w:t>
      </w:r>
    </w:p>
    <w:p>
      <w:pPr>
        <w:pStyle w:val="Style30"/>
        <w:numPr>
          <w:ilvl w:val="1"/>
          <w:numId w:val="3"/>
        </w:numPr>
        <w:rPr>
          <w:rFonts w:eastAsia="MS Mincho"/>
          <w:sz w:val="24"/>
          <w:szCs w:val="24"/>
        </w:rPr>
      </w:pPr>
      <w:bookmarkStart w:id="4" w:name="_Toc37354937"/>
      <w:r>
        <w:rPr>
          <w:rFonts w:eastAsia="MS Mincho"/>
          <w:sz w:val="24"/>
          <w:szCs w:val="24"/>
        </w:rPr>
        <w:t>УСТРОЙСТВО И РАБОТА ИЗДЕЛИЯ</w:t>
      </w:r>
      <w:bookmarkEnd w:id="4"/>
    </w:p>
    <w:p>
      <w:pPr>
        <w:pStyle w:val="Normal"/>
        <w:rPr>
          <w:rFonts w:eastAsia="MS Mincho"/>
        </w:rPr>
      </w:pPr>
      <w:r>
        <w:rPr>
          <w:rFonts w:eastAsia="MS Mincho"/>
        </w:rPr>
        <w:t>По конструктивному исполнению шкаф холодильный (рис.1) состоит из корпуса и холодильной машины (агрегата), расположенной в верхней части шкафа.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>В состав корпуса входят двери, которые изготавливаются металлическими, либо стеклянными. Обозначение шкафов начинается с буквы «</w:t>
      </w:r>
      <w:r>
        <w:rPr>
          <w:rFonts w:eastAsia="MS Mincho"/>
          <w:lang w:val="en-US"/>
        </w:rPr>
        <w:t>F</w:t>
      </w:r>
      <w:r>
        <w:rPr>
          <w:rFonts w:eastAsia="MS Mincho"/>
        </w:rPr>
        <w:t>», «</w:t>
      </w:r>
      <w:r>
        <w:rPr>
          <w:rFonts w:eastAsia="MS Mincho"/>
          <w:lang w:val="en-US"/>
        </w:rPr>
        <w:t>V</w:t>
      </w:r>
      <w:r>
        <w:rPr>
          <w:rFonts w:eastAsia="MS Mincho"/>
        </w:rPr>
        <w:t>», «</w:t>
      </w:r>
      <w:r>
        <w:rPr>
          <w:rFonts w:eastAsia="MS Mincho"/>
          <w:lang w:val="en-US"/>
        </w:rPr>
        <w:t>R</w:t>
      </w:r>
      <w:r>
        <w:rPr>
          <w:rFonts w:eastAsia="MS Mincho"/>
        </w:rPr>
        <w:t>» или «</w:t>
      </w:r>
      <w:r>
        <w:rPr>
          <w:rFonts w:eastAsia="MS Mincho"/>
          <w:lang w:val="en-US"/>
        </w:rPr>
        <w:t>D</w:t>
      </w:r>
      <w:r>
        <w:rPr>
          <w:rFonts w:eastAsia="MS Mincho"/>
        </w:rPr>
        <w:t>». Далее указывается внутренний объем шкафа.  Далее через дефис указывается исполнение корпуса: «</w:t>
      </w:r>
      <w:r>
        <w:rPr>
          <w:rFonts w:eastAsia="MS Mincho"/>
          <w:lang w:val="en-US"/>
        </w:rPr>
        <w:t>S</w:t>
      </w:r>
      <w:r>
        <w:rPr>
          <w:rFonts w:eastAsia="MS Mincho"/>
        </w:rPr>
        <w:t xml:space="preserve">» </w:t>
      </w:r>
      <w:r>
        <w:rPr>
          <w:rFonts w:eastAsia="MS Mincho"/>
          <w:lang w:val="en-US"/>
        </w:rPr>
        <w:t>STANDARD</w:t>
      </w:r>
      <w:r>
        <w:rPr>
          <w:rFonts w:eastAsia="MS Mincho"/>
        </w:rPr>
        <w:t xml:space="preserve"> или «</w:t>
      </w:r>
      <w:r>
        <w:rPr>
          <w:rFonts w:eastAsia="MS Mincho"/>
          <w:lang w:val="en-US"/>
        </w:rPr>
        <w:t>G</w:t>
      </w:r>
      <w:r>
        <w:rPr>
          <w:rFonts w:eastAsia="MS Mincho"/>
        </w:rPr>
        <w:t xml:space="preserve">» </w:t>
      </w:r>
      <w:r>
        <w:rPr>
          <w:rFonts w:eastAsia="MS Mincho"/>
          <w:lang w:val="en-US"/>
        </w:rPr>
        <w:t>GRANDE</w:t>
      </w:r>
      <w:r>
        <w:rPr>
          <w:rFonts w:eastAsia="MS Mincho"/>
        </w:rPr>
        <w:t xml:space="preserve">.  Корпус </w:t>
      </w:r>
      <w:r>
        <w:rPr>
          <w:rFonts w:eastAsia="MS Mincho"/>
          <w:lang w:val="en-US"/>
        </w:rPr>
        <w:t>STANDARD</w:t>
      </w:r>
      <w:r>
        <w:rPr>
          <w:rFonts w:eastAsia="MS Mincho"/>
        </w:rPr>
        <w:t xml:space="preserve"> выполнен из стали с лакокрасочным покрытием белого или иного цвета, корпус </w:t>
      </w:r>
      <w:r>
        <w:rPr>
          <w:rFonts w:eastAsia="MS Mincho"/>
          <w:lang w:val="en-US"/>
        </w:rPr>
        <w:t>GRANDE</w:t>
      </w:r>
      <w:r>
        <w:rPr>
          <w:rFonts w:eastAsia="MS Mincho"/>
        </w:rPr>
        <w:t xml:space="preserve"> выполнен из нержавеющей стали. Затем указывается буква «</w:t>
      </w:r>
      <w:r>
        <w:rPr>
          <w:rFonts w:eastAsia="MS Mincho"/>
          <w:lang w:val="en-US"/>
        </w:rPr>
        <w:t>l</w:t>
      </w:r>
      <w:r>
        <w:rPr>
          <w:rFonts w:eastAsia="MS Mincho"/>
        </w:rPr>
        <w:t>» для шкафов серии «</w:t>
      </w:r>
      <w:r>
        <w:rPr>
          <w:rFonts w:eastAsia="MS Mincho"/>
          <w:lang w:val="en-US"/>
        </w:rPr>
        <w:t>V</w:t>
      </w:r>
      <w:r>
        <w:rPr>
          <w:rFonts w:eastAsia="MS Mincho"/>
        </w:rPr>
        <w:t>», «</w:t>
      </w:r>
      <w:r>
        <w:rPr>
          <w:rFonts w:eastAsia="MS Mincho"/>
          <w:lang w:val="en-US"/>
        </w:rPr>
        <w:t>F</w:t>
      </w:r>
      <w:r>
        <w:rPr>
          <w:rFonts w:eastAsia="MS Mincho"/>
        </w:rPr>
        <w:t>» или «</w:t>
      </w:r>
      <w:r>
        <w:rPr>
          <w:rFonts w:eastAsia="MS Mincho"/>
          <w:lang w:val="en-US"/>
        </w:rPr>
        <w:t>D</w:t>
      </w:r>
      <w:r>
        <w:rPr>
          <w:rFonts w:eastAsia="MS Mincho"/>
        </w:rPr>
        <w:t>» в случае, если необходима верхняя рекламная панель. Далее указывается буква «</w:t>
      </w:r>
      <w:r>
        <w:rPr>
          <w:rFonts w:eastAsia="MS Mincho"/>
          <w:lang w:val="en-US"/>
        </w:rPr>
        <w:t>d</w:t>
      </w:r>
      <w:r>
        <w:rPr>
          <w:rFonts w:eastAsia="MS Mincho"/>
        </w:rPr>
        <w:t>» для шкафов серии «</w:t>
      </w:r>
      <w:r>
        <w:rPr>
          <w:rFonts w:eastAsia="MS Mincho"/>
          <w:lang w:val="en-US"/>
        </w:rPr>
        <w:t>F</w:t>
      </w:r>
      <w:r>
        <w:rPr>
          <w:rFonts w:eastAsia="MS Mincho"/>
        </w:rPr>
        <w:t>» и «</w:t>
      </w:r>
      <w:r>
        <w:rPr>
          <w:rFonts w:eastAsia="MS Mincho"/>
          <w:lang w:val="en-US"/>
        </w:rPr>
        <w:t>V</w:t>
      </w:r>
      <w:r>
        <w:rPr>
          <w:rFonts w:eastAsia="MS Mincho"/>
        </w:rPr>
        <w:t>» в случае, если необходима стеклянная дверь. В конце обозначения может указываться буква «с» в случае, если агрегат шкафа выполнен в виде сменной кассеты.</w:t>
      </w:r>
    </w:p>
    <w:p>
      <w:pPr>
        <w:sectPr>
          <w:footerReference w:type="default" r:id="rId3"/>
          <w:type w:val="nextPage"/>
          <w:pgSz w:w="11906" w:h="16838"/>
          <w:pgMar w:left="851" w:right="566" w:header="0" w:top="851" w:footer="709" w:bottom="766" w:gutter="0"/>
          <w:pgNumType w:fmt="decimal"/>
          <w:formProt w:val="false"/>
          <w:titlePg/>
          <w:textDirection w:val="lrTb"/>
          <w:docGrid w:type="default" w:linePitch="360" w:charSpace="8192"/>
        </w:sectPr>
        <w:pStyle w:val="Normal"/>
        <w:rPr>
          <w:rFonts w:eastAsia="MS Mincho"/>
        </w:rPr>
      </w:pPr>
      <w:r>
        <w:rPr>
          <w:rFonts w:eastAsia="MS Mincho"/>
        </w:rPr>
        <w:t>Над дверью шкафа расположена фронтальная панель. У шкафов с металлическими и стеклянными дверями на фронтальной панели расположен клавишный выключатель со световым индикатором для отключения шкафа от источника электропитания и контроллер, который управляет работой холодильной машины.</w:t>
      </w:r>
    </w:p>
    <w:p>
      <w:pPr>
        <w:pStyle w:val="Caption"/>
        <w:keepNext w:val="true"/>
        <w:rPr/>
      </w:pPr>
      <w:r>
        <w:rPr/>
        <w:t xml:space="preserve">Таблица </w:t>
      </w:r>
      <w:r>
        <w:rPr/>
        <w:fldChar w:fldCharType="begin"/>
      </w:r>
      <w:r>
        <w:rPr/>
        <w:instrText> SEQ Таблица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r>
        <w:rPr/>
        <w:t xml:space="preserve"> Технические характеристики холодильных шкафов</w:t>
      </w:r>
    </w:p>
    <w:tbl>
      <w:tblPr>
        <w:tblW w:w="10741" w:type="dxa"/>
        <w:jc w:val="left"/>
        <w:tblInd w:w="-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965"/>
        <w:gridCol w:w="562"/>
        <w:gridCol w:w="563"/>
        <w:gridCol w:w="984"/>
        <w:gridCol w:w="844"/>
        <w:gridCol w:w="1124"/>
        <w:gridCol w:w="845"/>
        <w:gridCol w:w="561"/>
        <w:gridCol w:w="703"/>
        <w:gridCol w:w="706"/>
        <w:gridCol w:w="882"/>
      </w:tblGrid>
      <w:tr>
        <w:trPr>
          <w:trHeight w:val="1182" w:hRule="atLeast"/>
        </w:trPr>
        <w:tc>
          <w:tcPr>
            <w:tcW w:w="2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120" w:after="12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</w:r>
          </w:p>
          <w:p>
            <w:pPr>
              <w:pStyle w:val="PlainText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</w:r>
          </w:p>
          <w:p>
            <w:pPr>
              <w:pStyle w:val="PlainText"/>
              <w:spacing w:before="120" w:after="12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Марка шкафа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120" w:after="12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Объем, м3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PlainText"/>
              <w:spacing w:before="0" w:after="0"/>
              <w:ind w:left="113" w:right="113" w:hanging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Температура полезного</w:t>
            </w:r>
          </w:p>
          <w:p>
            <w:pPr>
              <w:pStyle w:val="PlainText"/>
              <w:spacing w:before="0" w:after="0"/>
              <w:ind w:left="113" w:right="113" w:hanging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 xml:space="preserve">объема, </w:t>
            </w:r>
            <w:r>
              <w:rPr>
                <w:rFonts w:eastAsia="Symbol" w:cs="Symbol" w:ascii="Symbol" w:hAnsi="Symbol"/>
                <w:sz w:val="16"/>
                <w:szCs w:val="16"/>
              </w:rPr>
              <w:t></w:t>
            </w: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С</w:t>
            </w:r>
          </w:p>
          <w:p>
            <w:pPr>
              <w:pStyle w:val="PlainText"/>
              <w:spacing w:before="0" w:after="0"/>
              <w:ind w:left="113" w:right="113" w:hanging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PlainText"/>
              <w:spacing w:before="120" w:after="120"/>
              <w:ind w:left="113" w:right="113" w:hanging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Номинальный</w:t>
            </w:r>
          </w:p>
          <w:p>
            <w:pPr>
              <w:pStyle w:val="PlainText"/>
              <w:spacing w:before="120" w:after="120"/>
              <w:ind w:left="113" w:right="113" w:hanging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 xml:space="preserve"> </w:t>
            </w: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ток, А</w:t>
            </w:r>
          </w:p>
        </w:tc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PlainText"/>
              <w:spacing w:before="120" w:after="120"/>
              <w:ind w:left="113" w:right="113" w:hanging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Потребляемая мощность, кВт</w:t>
            </w:r>
          </w:p>
        </w:tc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120" w:after="12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Расход эл. энергии за сутки, кВт.ч, не более</w:t>
            </w:r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120" w:after="12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Габаритные размеры, мм, с выступающими частями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120" w:after="12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Масса</w:t>
            </w:r>
          </w:p>
          <w:p>
            <w:pPr>
              <w:pStyle w:val="PlainText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нетто/</w:t>
            </w:r>
          </w:p>
          <w:p>
            <w:pPr>
              <w:pStyle w:val="PlainText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брутто,</w:t>
            </w:r>
          </w:p>
          <w:p>
            <w:pPr>
              <w:pStyle w:val="PlainText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не более</w:t>
            </w:r>
          </w:p>
          <w:p>
            <w:pPr>
              <w:pStyle w:val="PlainText"/>
              <w:spacing w:before="120" w:after="120"/>
              <w:jc w:val="center"/>
              <w:rPr>
                <w:rFonts w:ascii="DIN Pro Regular" w:hAnsi="DIN Pro Regular" w:eastAsia="MS Mincho" w:cs="DIN Pro Regular"/>
                <w:sz w:val="23"/>
                <w:szCs w:val="23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кг</w:t>
            </w:r>
          </w:p>
        </w:tc>
      </w:tr>
      <w:tr>
        <w:trPr>
          <w:trHeight w:val="950" w:hRule="exact"/>
          <w:cantSplit w:val="true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120" w:after="12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Внутрен</w:t>
            </w:r>
          </w:p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ний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Полез</w:t>
            </w:r>
          </w:p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ный</w:t>
            </w:r>
          </w:p>
        </w:tc>
        <w:tc>
          <w:tcPr>
            <w:tcW w:w="9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120" w:after="12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</w:r>
          </w:p>
        </w:tc>
        <w:tc>
          <w:tcPr>
            <w:tcW w:w="8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120" w:after="12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</w:r>
          </w:p>
        </w:tc>
        <w:tc>
          <w:tcPr>
            <w:tcW w:w="11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120" w:after="12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</w:r>
          </w:p>
        </w:tc>
        <w:tc>
          <w:tcPr>
            <w:tcW w:w="84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120" w:after="12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PlainText"/>
              <w:spacing w:before="120" w:after="120"/>
              <w:ind w:left="113" w:right="113" w:hanging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глубина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PlainText"/>
              <w:spacing w:before="120" w:after="120"/>
              <w:ind w:left="113" w:right="113" w:hanging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ширина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PlainText"/>
              <w:spacing w:before="120" w:after="120"/>
              <w:ind w:left="113" w:right="113" w:hanging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высота</w:t>
            </w:r>
          </w:p>
        </w:tc>
        <w:tc>
          <w:tcPr>
            <w:tcW w:w="8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PlainText"/>
              <w:spacing w:before="120" w:after="120"/>
              <w:rPr>
                <w:rFonts w:ascii="DIN Pro Regular" w:hAnsi="DIN Pro Regular" w:eastAsia="MS Mincho" w:cs="DIN Pro Regular"/>
                <w:sz w:val="23"/>
                <w:szCs w:val="23"/>
              </w:rPr>
            </w:pPr>
            <w:r>
              <w:rPr>
                <w:rFonts w:eastAsia="MS Mincho" w:cs="DIN Pro Regular" w:ascii="DIN Pro Regular" w:hAnsi="DIN Pro Regular"/>
                <w:sz w:val="23"/>
                <w:szCs w:val="23"/>
              </w:rPr>
            </w:r>
          </w:p>
        </w:tc>
      </w:tr>
      <w:tr>
        <w:trPr>
          <w:trHeight w:val="245" w:hRule="atLeast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rPr/>
            </w:pPr>
            <w:r>
              <w:rPr>
                <w:rFonts w:eastAsia="MS Mincho" w:cs="DIN Pro Regular" w:ascii="DIN Pro Regular" w:hAnsi="DIN Pro Regular"/>
                <w:b/>
                <w:lang w:val="en-US"/>
              </w:rPr>
              <w:t>R0,7-S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  <w:lang w:val="en-US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</w:t>
            </w:r>
            <w:r>
              <w:rPr>
                <w:rFonts w:eastAsia="MS Mincho" w:cs="DIN Pro Regular" w:ascii="DIN Pro Regular" w:hAnsi="DIN Pro Regular"/>
                <w:sz w:val="16"/>
                <w:szCs w:val="16"/>
                <w:lang w:val="en-US"/>
              </w:rPr>
              <w:t>65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</w:t>
            </w:r>
            <w:r>
              <w:rPr>
                <w:rFonts w:eastAsia="MS Mincho" w:cs="DIN Pro Regular" w:ascii="DIN Pro Regular" w:hAnsi="DIN Pro Regular"/>
                <w:sz w:val="16"/>
                <w:szCs w:val="16"/>
                <w:lang w:val="en-US"/>
              </w:rPr>
              <w:t xml:space="preserve"> </w:t>
            </w: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÷</w:t>
            </w:r>
            <w:r>
              <w:rPr>
                <w:rFonts w:eastAsia="MS Mincho" w:cs="DIN Pro Regular" w:ascii="DIN Pro Regular" w:hAnsi="DIN Pro Regular"/>
                <w:sz w:val="16"/>
                <w:szCs w:val="16"/>
                <w:lang w:val="en-US"/>
              </w:rPr>
              <w:t xml:space="preserve"> </w:t>
            </w: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+ 6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2,5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0,35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  <w:lang w:val="en-US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3,5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710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115/135</w:t>
            </w:r>
          </w:p>
        </w:tc>
      </w:tr>
      <w:tr>
        <w:trPr>
          <w:trHeight w:val="426" w:hRule="atLeast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rPr/>
            </w:pPr>
            <w:r>
              <w:rPr>
                <w:rFonts w:eastAsia="MS Mincho" w:cs="DIN Pro Regular" w:ascii="DIN Pro Regular" w:hAnsi="DIN Pro Regular"/>
                <w:b/>
                <w:lang w:val="en-US"/>
              </w:rPr>
              <w:t>R1,4-S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1,4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  <w:lang w:val="en-US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1,</w:t>
            </w:r>
            <w:r>
              <w:rPr>
                <w:rFonts w:eastAsia="MS Mincho" w:cs="DIN Pro Regular" w:ascii="DIN Pro Regular" w:hAnsi="DIN Pro Regular"/>
                <w:sz w:val="16"/>
                <w:szCs w:val="16"/>
                <w:lang w:val="en-US"/>
              </w:rPr>
              <w:t>3</w:t>
            </w:r>
          </w:p>
        </w:tc>
        <w:tc>
          <w:tcPr>
            <w:tcW w:w="9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3,5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5,5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1420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  <w:lang w:val="en-US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190/215</w:t>
            </w:r>
          </w:p>
        </w:tc>
      </w:tr>
      <w:tr>
        <w:trPr>
          <w:trHeight w:val="465" w:hRule="atLeast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rPr/>
            </w:pPr>
            <w:r>
              <w:rPr>
                <w:rFonts w:eastAsia="MS Mincho" w:cs="DIN Pro Regular" w:ascii="DIN Pro Regular" w:hAnsi="DIN Pro Regular"/>
                <w:b/>
                <w:lang w:val="en-US"/>
              </w:rPr>
              <w:t>F0,7-S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  <w:lang w:val="en-US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</w:t>
            </w:r>
            <w:r>
              <w:rPr>
                <w:rFonts w:eastAsia="MS Mincho" w:cs="DIN Pro Regular" w:ascii="DIN Pro Regular" w:hAnsi="DIN Pro Regular"/>
                <w:sz w:val="16"/>
                <w:szCs w:val="16"/>
                <w:lang w:val="en-US"/>
              </w:rPr>
              <w:t>65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Не выше</w:t>
            </w:r>
          </w:p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-18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4,0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0,55раб/</w:t>
            </w:r>
          </w:p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0,40отт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10,0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  <w:lang w:val="en-US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710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120/140</w:t>
            </w:r>
          </w:p>
        </w:tc>
      </w:tr>
      <w:tr>
        <w:trPr>
          <w:trHeight w:val="125" w:hRule="atLeast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rPr/>
            </w:pPr>
            <w:r>
              <w:rPr>
                <w:rFonts w:eastAsia="MS Mincho" w:cs="DIN Pro Regular" w:ascii="DIN Pro Regular" w:hAnsi="DIN Pro Regular"/>
                <w:b/>
                <w:lang w:val="en-US"/>
              </w:rPr>
              <w:t>F1,4-S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1,4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  <w:lang w:val="en-US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1,</w:t>
            </w:r>
            <w:r>
              <w:rPr>
                <w:rFonts w:eastAsia="MS Mincho" w:cs="DIN Pro Regular" w:ascii="DIN Pro Regular" w:hAnsi="DIN Pro Regular"/>
                <w:sz w:val="16"/>
                <w:szCs w:val="16"/>
                <w:lang w:val="en-US"/>
              </w:rPr>
              <w:t>3</w:t>
            </w:r>
          </w:p>
        </w:tc>
        <w:tc>
          <w:tcPr>
            <w:tcW w:w="9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6,0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0,8раб/</w:t>
            </w:r>
          </w:p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0,8отт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15,0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1420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200/225</w:t>
            </w:r>
          </w:p>
        </w:tc>
      </w:tr>
      <w:tr>
        <w:trPr>
          <w:trHeight w:val="598" w:hRule="atLeast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rPr/>
            </w:pPr>
            <w:r>
              <w:rPr>
                <w:rFonts w:eastAsia="MS Mincho" w:cs="DIN Pro Regular" w:ascii="DIN Pro Regular" w:hAnsi="DIN Pro Regular"/>
                <w:b/>
                <w:lang w:val="en-US"/>
              </w:rPr>
              <w:t>D0,7-S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  <w:lang w:val="en-US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0,65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+1</w:t>
            </w:r>
            <w:r>
              <w:rPr>
                <w:rFonts w:eastAsia="MS Mincho" w:cs="DIN Pro Regular" w:ascii="DIN Pro Regular" w:hAnsi="DIN Pro Regular"/>
                <w:sz w:val="16"/>
                <w:szCs w:val="16"/>
                <w:lang w:val="en-US"/>
              </w:rPr>
              <w:t xml:space="preserve"> </w:t>
            </w: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÷</w:t>
            </w:r>
            <w:r>
              <w:rPr>
                <w:rFonts w:eastAsia="MS Mincho" w:cs="DIN Pro Regular" w:ascii="DIN Pro Regular" w:hAnsi="DIN Pro Regular"/>
                <w:sz w:val="16"/>
                <w:szCs w:val="16"/>
                <w:lang w:val="en-US"/>
              </w:rPr>
              <w:t xml:space="preserve"> </w:t>
            </w: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+ 10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2,5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0,35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3,5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710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125/145</w:t>
            </w:r>
          </w:p>
        </w:tc>
      </w:tr>
      <w:tr>
        <w:trPr>
          <w:trHeight w:val="431" w:hRule="atLeast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rPr/>
            </w:pPr>
            <w:r>
              <w:rPr>
                <w:rFonts w:eastAsia="MS Mincho" w:cs="DIN Pro Regular" w:ascii="DIN Pro Regular" w:hAnsi="DIN Pro Regular"/>
                <w:b/>
                <w:lang w:val="en-US"/>
              </w:rPr>
              <w:t>D0,5-S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  <w:lang w:val="en-US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  <w:lang w:val="en-US"/>
              </w:rPr>
              <w:t>0,5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0,45</w:t>
            </w:r>
          </w:p>
        </w:tc>
        <w:tc>
          <w:tcPr>
            <w:tcW w:w="9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2,5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0,35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3,0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680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710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105/125</w:t>
            </w:r>
          </w:p>
        </w:tc>
      </w:tr>
      <w:tr>
        <w:trPr>
          <w:trHeight w:val="500" w:hRule="atLeast"/>
        </w:trPr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rPr/>
            </w:pPr>
            <w:r>
              <w:rPr>
                <w:rFonts w:eastAsia="MS Mincho" w:cs="DIN Pro Regular" w:ascii="DIN Pro Regular" w:hAnsi="DIN Pro Regular"/>
                <w:b/>
                <w:lang w:val="en-US"/>
              </w:rPr>
              <w:t>D1,4-S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  <w:lang w:val="en-US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  <w:lang w:val="en-US"/>
              </w:rPr>
              <w:t>1,4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1,3</w:t>
            </w:r>
          </w:p>
        </w:tc>
        <w:tc>
          <w:tcPr>
            <w:tcW w:w="9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3,5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0,55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5,5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880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1420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2200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PlainText"/>
              <w:spacing w:before="0" w:after="0"/>
              <w:jc w:val="center"/>
              <w:rPr>
                <w:rFonts w:ascii="DIN Pro Regular" w:hAnsi="DIN Pro Regular" w:eastAsia="MS Mincho" w:cs="DIN Pro Regular"/>
                <w:sz w:val="16"/>
                <w:szCs w:val="16"/>
              </w:rPr>
            </w:pPr>
            <w:r>
              <w:rPr>
                <w:rFonts w:eastAsia="MS Mincho" w:cs="DIN Pro Regular" w:ascii="DIN Pro Regular" w:hAnsi="DIN Pro Regular"/>
                <w:sz w:val="16"/>
                <w:szCs w:val="16"/>
              </w:rPr>
              <w:t>200/225</w:t>
            </w:r>
          </w:p>
        </w:tc>
      </w:tr>
    </w:tbl>
    <w:p>
      <w:pPr>
        <w:pStyle w:val="Normal"/>
        <w:spacing w:before="0" w:after="0"/>
        <w:rPr>
          <w:rFonts w:eastAsia="MS Mincho"/>
        </w:rPr>
      </w:pPr>
      <w:r>
        <w:rPr>
          <w:rFonts w:eastAsia="MS Mincho"/>
        </w:rPr>
        <w:t>Примечания</w:t>
      </w:r>
    </w:p>
    <w:p>
      <w:pPr>
        <w:pStyle w:val="Normal"/>
        <w:spacing w:before="0" w:after="0"/>
        <w:rPr>
          <w:rFonts w:eastAsia="MS Mincho"/>
        </w:rPr>
      </w:pPr>
      <w:r>
        <w:rPr>
          <w:rFonts w:eastAsia="MS Mincho"/>
        </w:rPr>
        <w:t xml:space="preserve">1. Тип применяемого хладагента R404A (R125-44%, R134а-4%, R143а-52%) или </w:t>
      </w:r>
      <w:r>
        <w:rPr>
          <w:rFonts w:eastAsia="MS Mincho"/>
          <w:lang w:val="en-US"/>
        </w:rPr>
        <w:t>R</w:t>
      </w:r>
      <w:r>
        <w:rPr>
          <w:rFonts w:eastAsia="MS Mincho"/>
        </w:rPr>
        <w:t xml:space="preserve">134а или </w:t>
      </w:r>
      <w:r>
        <w:rPr>
          <w:rFonts w:eastAsia="MS Mincho"/>
          <w:lang w:val="en-US"/>
        </w:rPr>
        <w:t>R</w:t>
      </w:r>
      <w:r>
        <w:rPr>
          <w:rFonts w:eastAsia="MS Mincho"/>
        </w:rPr>
        <w:t>290 и его количество указывается в табличке технических данных, находящейся внутри шкафа на правой боковой стенке.</w:t>
      </w:r>
    </w:p>
    <w:p>
      <w:pPr>
        <w:pStyle w:val="Normal"/>
        <w:spacing w:before="0" w:after="0"/>
        <w:rPr>
          <w:rFonts w:eastAsia="MS Mincho"/>
        </w:rPr>
      </w:pPr>
      <w:r>
        <w:rPr>
          <w:rFonts w:eastAsia="MS Mincho"/>
        </w:rPr>
        <w:t>2. Система электропитания: 1/N/PE 230В 50 Гц. Допустимое отклонение напряжения от номинального значения от плюс 10% до минус 15%.</w:t>
      </w:r>
    </w:p>
    <w:p>
      <w:pPr>
        <w:pStyle w:val="Normal"/>
        <w:spacing w:before="60" w:after="0"/>
        <w:rPr>
          <w:rFonts w:eastAsia="MS Mincho"/>
        </w:rPr>
      </w:pPr>
      <w:r>
        <w:rPr>
          <w:rFonts w:eastAsia="MS Mincho"/>
        </w:rPr>
        <w:t>3. Рекомендуемая нагрузка на полку – не более 40 кг.</w:t>
      </w:r>
    </w:p>
    <w:p>
      <w:pPr>
        <w:pStyle w:val="Normal"/>
        <w:spacing w:before="60" w:after="0"/>
        <w:rPr>
          <w:rFonts w:eastAsia="MS Mincho"/>
        </w:rPr>
      </w:pPr>
      <w:r>
        <w:rPr>
          <w:rFonts w:eastAsia="MS Mincho"/>
        </w:rPr>
      </w:r>
    </w:p>
    <w:p>
      <w:pPr>
        <w:pStyle w:val="Style30"/>
        <w:numPr>
          <w:ilvl w:val="1"/>
          <w:numId w:val="3"/>
        </w:numPr>
        <w:spacing w:before="60" w:after="200"/>
        <w:rPr>
          <w:rFonts w:eastAsia="MS Mincho"/>
          <w:sz w:val="24"/>
          <w:szCs w:val="24"/>
        </w:rPr>
      </w:pPr>
      <w:bookmarkStart w:id="5" w:name="_Toc37354938"/>
      <w:r>
        <w:rPr>
          <w:rFonts w:eastAsia="MS Mincho"/>
          <w:sz w:val="24"/>
          <w:szCs w:val="24"/>
        </w:rPr>
        <w:t>СВИДЕТЕЛЬСТВО О ПРИЕМКЕ</w:t>
      </w:r>
      <w:bookmarkEnd w:id="5"/>
    </w:p>
    <w:tbl>
      <w:tblPr>
        <w:tblStyle w:val="ab"/>
        <w:tblW w:w="758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582"/>
      </w:tblGrid>
      <w:tr>
        <w:trPr>
          <w:trHeight w:val="3043" w:hRule="atLeast"/>
        </w:trPr>
        <w:tc>
          <w:tcPr>
            <w:tcW w:w="7582" w:type="dxa"/>
            <w:tcBorders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eastAsia="MS Mincho"/>
              </w:rPr>
            </w:pPr>
            <w:r>
              <w:rPr>
                <w:rFonts w:eastAsia="MS Mincho"/>
              </w:rPr>
            </w:r>
          </w:p>
          <w:p>
            <w:pPr>
              <w:pStyle w:val="Normal"/>
              <w:rPr>
                <w:rFonts w:eastAsia="MS Mincho"/>
              </w:rPr>
            </w:pPr>
            <w:r>
              <w:rPr>
                <w:rFonts w:eastAsia="MS Mincho"/>
              </w:rPr>
            </w:r>
          </w:p>
          <w:p>
            <w:pPr>
              <w:pStyle w:val="Normal"/>
              <w:rPr>
                <w:rFonts w:eastAsia="MS Mincho"/>
              </w:rPr>
            </w:pPr>
            <w:r>
              <w:rPr>
                <w:rFonts w:eastAsia="MS Mincho"/>
              </w:rPr>
            </w:r>
          </w:p>
          <w:p>
            <w:pPr>
              <w:pStyle w:val="Normal"/>
              <w:rPr>
                <w:rFonts w:eastAsia="MS Mincho"/>
              </w:rPr>
            </w:pPr>
            <w:r>
              <w:rPr>
                <w:rFonts w:eastAsia="MS Mincho"/>
              </w:rPr>
            </w:r>
          </w:p>
          <w:p>
            <w:pPr>
              <w:pStyle w:val="Normal"/>
              <w:rPr>
                <w:rFonts w:eastAsia="MS Mincho"/>
              </w:rPr>
            </w:pPr>
            <w:r>
              <w:rPr>
                <w:rFonts w:eastAsia="MS Mincho"/>
              </w:rPr>
            </w:r>
          </w:p>
          <w:p>
            <w:pPr>
              <w:pStyle w:val="Normal"/>
              <w:rPr>
                <w:rFonts w:eastAsia="MS Mincho"/>
              </w:rPr>
            </w:pPr>
            <w:r>
              <w:rPr>
                <w:rFonts w:eastAsia="MS Mincho"/>
              </w:rPr>
            </w:r>
          </w:p>
          <w:p>
            <w:pPr>
              <w:pStyle w:val="Normal"/>
              <w:rPr>
                <w:rFonts w:eastAsia="MS Mincho"/>
              </w:rPr>
            </w:pPr>
            <w:r>
              <w:rPr>
                <w:rFonts w:eastAsia="MS Mincho"/>
              </w:rPr>
            </w:r>
          </w:p>
          <w:p>
            <w:pPr>
              <w:pStyle w:val="Normal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</w:r>
          </w:p>
          <w:p>
            <w:pPr>
              <w:pStyle w:val="Normal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</w:r>
          </w:p>
          <w:p>
            <w:pPr>
              <w:pStyle w:val="Normal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</w:r>
          </w:p>
          <w:p>
            <w:pPr>
              <w:pStyle w:val="Normal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</w:r>
          </w:p>
          <w:p>
            <w:pPr>
              <w:pStyle w:val="Normal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</w:r>
          </w:p>
          <w:p>
            <w:pPr>
              <w:pStyle w:val="Normal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</w:r>
          </w:p>
          <w:p>
            <w:pPr>
              <w:pStyle w:val="Normal"/>
              <w:spacing w:before="120" w:after="1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</w:r>
          </w:p>
        </w:tc>
      </w:tr>
    </w:tbl>
    <w:p>
      <w:pPr>
        <w:pStyle w:val="PlainText"/>
        <w:rPr>
          <w:rFonts w:ascii="DIN Pro Regular" w:hAnsi="DIN Pro Regular" w:eastAsia="MS Mincho" w:cs="DIN Pro Regular"/>
          <w:color w:val="0000FF"/>
          <w:sz w:val="21"/>
          <w:szCs w:val="21"/>
        </w:rPr>
      </w:pPr>
      <w:r>
        <w:rPr>
          <w:rFonts w:eastAsia="MS Mincho" w:cs="DIN Pro Regular" w:ascii="DIN Pro Regular" w:hAnsi="DIN Pro Regular"/>
          <w:color w:val="0000FF"/>
          <w:sz w:val="21"/>
          <w:szCs w:val="21"/>
        </w:rPr>
      </w:r>
    </w:p>
    <w:p>
      <w:pPr>
        <w:pStyle w:val="PlainText"/>
        <w:rPr>
          <w:rFonts w:ascii="DIN Pro Regular" w:hAnsi="DIN Pro Regular" w:eastAsia="MS Mincho" w:cs="DIN Pro Regular"/>
          <w:color w:val="0000FF"/>
          <w:sz w:val="21"/>
          <w:szCs w:val="21"/>
        </w:rPr>
      </w:pPr>
      <w:r>
        <w:rPr>
          <w:rFonts w:eastAsia="MS Mincho" w:cs="DIN Pro Regular" w:ascii="DIN Pro Regular" w:hAnsi="DIN Pro Regular"/>
          <w:color w:val="0000FF"/>
          <w:sz w:val="21"/>
          <w:szCs w:val="21"/>
        </w:rPr>
      </w:r>
    </w:p>
    <w:p>
      <w:pPr>
        <w:pStyle w:val="PlainText"/>
        <w:rPr>
          <w:rFonts w:ascii="DIN Pro Regular" w:hAnsi="DIN Pro Regular" w:eastAsia="MS Mincho" w:cs="DIN Pro Regular"/>
          <w:color w:val="0000FF"/>
          <w:sz w:val="21"/>
          <w:szCs w:val="21"/>
        </w:rPr>
      </w:pPr>
      <w:r>
        <w:rPr>
          <w:rFonts w:eastAsia="MS Mincho" w:cs="DIN Pro Regular" w:ascii="DIN Pro Regular" w:hAnsi="DIN Pro Regular"/>
          <w:color w:val="0000FF"/>
          <w:sz w:val="21"/>
          <w:szCs w:val="21"/>
        </w:rPr>
      </w:r>
    </w:p>
    <w:p>
      <w:pPr>
        <w:pStyle w:val="PlainText"/>
        <w:rPr>
          <w:rFonts w:ascii="DIN Pro Regular" w:hAnsi="DIN Pro Regular" w:eastAsia="MS Mincho" w:cs="DIN Pro Regular"/>
          <w:color w:val="0000FF"/>
          <w:sz w:val="21"/>
          <w:szCs w:val="21"/>
        </w:rPr>
      </w:pPr>
      <w:r>
        <w:rPr>
          <w:rFonts w:eastAsia="MS Mincho" w:cs="DIN Pro Regular" w:ascii="DIN Pro Regular" w:hAnsi="DIN Pro Regular"/>
          <w:color w:val="0000FF"/>
          <w:sz w:val="21"/>
          <w:szCs w:val="21"/>
        </w:rPr>
      </w:r>
    </w:p>
    <w:p>
      <w:pPr>
        <w:pStyle w:val="PlainText"/>
        <w:rPr>
          <w:rFonts w:ascii="DIN Pro Regular" w:hAnsi="DIN Pro Regular" w:eastAsia="MS Mincho" w:cs="DIN Pro Regular"/>
          <w:color w:val="0000FF"/>
          <w:sz w:val="21"/>
          <w:szCs w:val="21"/>
        </w:rPr>
      </w:pPr>
      <w:r>
        <w:rPr>
          <w:rFonts w:eastAsia="MS Mincho" w:cs="DIN Pro Regular" w:ascii="DIN Pro Regular" w:hAnsi="DIN Pro Regular"/>
          <w:color w:val="0000FF"/>
          <w:sz w:val="21"/>
          <w:szCs w:val="21"/>
        </w:rPr>
      </w:r>
    </w:p>
    <w:p>
      <w:pPr>
        <w:pStyle w:val="PlainText"/>
        <w:rPr>
          <w:rFonts w:ascii="DIN Pro Regular" w:hAnsi="DIN Pro Regular" w:eastAsia="MS Mincho" w:cs="DIN Pro Regular"/>
          <w:color w:val="0000FF"/>
          <w:sz w:val="21"/>
          <w:szCs w:val="21"/>
        </w:rPr>
      </w:pPr>
      <w:r>
        <w:rPr/>
        <w:drawing>
          <wp:inline distT="0" distB="0" distL="0" distR="0">
            <wp:extent cx="6630035" cy="4726305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678" t="24089" r="29248" b="1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numPr>
          <w:ilvl w:val="0"/>
          <w:numId w:val="3"/>
        </w:numPr>
        <w:tabs>
          <w:tab w:val="left" w:pos="360" w:leader="none"/>
        </w:tabs>
        <w:rPr/>
      </w:pPr>
      <w:bookmarkStart w:id="6" w:name="_Toc37354939"/>
      <w:r>
        <w:rPr/>
        <w:t>ПАСПОРТНЫЕ ДАННЫЕ</w:t>
      </w:r>
      <w:bookmarkEnd w:id="6"/>
    </w:p>
    <w:p>
      <w:pPr>
        <w:pStyle w:val="Style30"/>
        <w:numPr>
          <w:ilvl w:val="1"/>
          <w:numId w:val="7"/>
        </w:numPr>
        <w:rPr>
          <w:rFonts w:eastAsia="MS Mincho"/>
          <w:sz w:val="24"/>
          <w:szCs w:val="24"/>
        </w:rPr>
      </w:pPr>
      <w:bookmarkStart w:id="7" w:name="_Toc37354940"/>
      <w:r>
        <w:rPr>
          <w:rFonts w:eastAsia="MS Mincho"/>
          <w:sz w:val="24"/>
          <w:szCs w:val="24"/>
        </w:rPr>
        <w:t>КОМПЛЕКТНОСТЬ ПОСТАВКИ</w:t>
      </w:r>
      <w:bookmarkEnd w:id="7"/>
    </w:p>
    <w:p>
      <w:pPr>
        <w:pStyle w:val="Normal"/>
        <w:rPr/>
      </w:pPr>
      <w:r>
        <w:rPr/>
        <w:t>Комплектность поставки приведена в табл. 2.</w:t>
      </w:r>
    </w:p>
    <w:p>
      <w:pPr>
        <w:pStyle w:val="Caption"/>
        <w:keepNext w:val="true"/>
        <w:rPr/>
      </w:pPr>
      <w:r>
        <w:rPr/>
        <w:t xml:space="preserve">Таблица </w:t>
      </w:r>
      <w:r>
        <w:rPr/>
        <w:fldChar w:fldCharType="begin"/>
      </w:r>
      <w:r>
        <w:rPr/>
        <w:instrText> SEQ Таблица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>. Комплектность поставки</w:t>
      </w:r>
    </w:p>
    <w:tbl>
      <w:tblPr>
        <w:tblW w:w="10371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028"/>
        <w:gridCol w:w="1970"/>
        <w:gridCol w:w="2126"/>
        <w:gridCol w:w="2127"/>
        <w:gridCol w:w="2120"/>
      </w:tblGrid>
      <w:tr>
        <w:trPr>
          <w:cantSplit w:val="true"/>
        </w:trPr>
        <w:tc>
          <w:tcPr>
            <w:tcW w:w="2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Наименование</w:t>
            </w:r>
          </w:p>
        </w:tc>
        <w:tc>
          <w:tcPr>
            <w:tcW w:w="8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Количество для шкафов с внутренним объемом, шт.</w:t>
            </w:r>
          </w:p>
        </w:tc>
      </w:tr>
      <w:tr>
        <w:trPr>
          <w:cantSplit w:val="true"/>
        </w:trPr>
        <w:tc>
          <w:tcPr>
            <w:tcW w:w="20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0,7 м</w:t>
            </w:r>
            <w:r>
              <w:rPr>
                <w:rFonts w:cs="DIN Pro Regular"/>
                <w:szCs w:val="20"/>
                <w:vertAlign w:val="superscript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1,4 м</w:t>
            </w:r>
            <w:r>
              <w:rPr>
                <w:rFonts w:cs="DIN Pro Regular"/>
                <w:szCs w:val="20"/>
                <w:vertAlign w:val="superscript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0,5 м</w:t>
            </w:r>
            <w:r>
              <w:rPr>
                <w:rFonts w:cs="DIN Pro Regular"/>
                <w:szCs w:val="20"/>
                <w:vertAlign w:val="superscript"/>
              </w:rPr>
              <w:t>3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/>
            </w:r>
          </w:p>
        </w:tc>
      </w:tr>
      <w:tr>
        <w:trPr/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Руководство по эксплуатации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/>
            </w:r>
          </w:p>
        </w:tc>
      </w:tr>
      <w:tr>
        <w:trPr/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Ключ к замкам (комплект)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1*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2*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1*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/>
            </w:r>
          </w:p>
        </w:tc>
      </w:tr>
      <w:tr>
        <w:trPr/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 xml:space="preserve">Направляющая полки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10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/>
            </w:r>
          </w:p>
        </w:tc>
      </w:tr>
      <w:tr>
        <w:trPr/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Полка-решетка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/>
            </w:r>
          </w:p>
        </w:tc>
      </w:tr>
      <w:tr>
        <w:trPr/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Ножка регулируемая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4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/>
            </w:r>
          </w:p>
        </w:tc>
      </w:tr>
      <w:tr>
        <w:trPr/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Пульт ДУ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1**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2**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>
                <w:rFonts w:cs="DIN Pro Regular"/>
                <w:szCs w:val="20"/>
              </w:rPr>
              <w:t>1**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cs="DIN Pro Regular"/>
                <w:szCs w:val="20"/>
              </w:rPr>
            </w:pPr>
            <w:r>
              <w:rPr/>
            </w:r>
          </w:p>
        </w:tc>
      </w:tr>
    </w:tbl>
    <w:p>
      <w:pPr>
        <w:pStyle w:val="Normal"/>
        <w:rPr>
          <w:rFonts w:cs="DIN Pro Regular"/>
          <w:sz w:val="21"/>
          <w:szCs w:val="21"/>
        </w:rPr>
      </w:pPr>
      <w:r>
        <w:rPr>
          <w:rFonts w:cs="DIN Pro Regular"/>
          <w:sz w:val="21"/>
          <w:szCs w:val="21"/>
        </w:rPr>
        <w:t>* - в зависимости от исполнения шкафа.</w:t>
      </w:r>
    </w:p>
    <w:p>
      <w:pPr>
        <w:pStyle w:val="Normal"/>
        <w:rPr>
          <w:rFonts w:cs="DIN Pro Regular"/>
          <w:sz w:val="21"/>
          <w:szCs w:val="21"/>
        </w:rPr>
      </w:pPr>
      <w:r>
        <w:rPr>
          <w:rFonts w:cs="DIN Pro Regular"/>
          <w:sz w:val="21"/>
          <w:szCs w:val="21"/>
        </w:rPr>
        <w:t>** - для шкафов в исполнении с электромеханическим замком</w:t>
      </w:r>
    </w:p>
    <w:p>
      <w:pPr>
        <w:pStyle w:val="Style30"/>
        <w:numPr>
          <w:ilvl w:val="1"/>
          <w:numId w:val="7"/>
        </w:numPr>
        <w:rPr>
          <w:rFonts w:eastAsia="MS Mincho"/>
          <w:sz w:val="24"/>
          <w:szCs w:val="24"/>
        </w:rPr>
      </w:pPr>
      <w:bookmarkStart w:id="8" w:name="_Toc37354941"/>
      <w:r>
        <w:rPr>
          <w:rFonts w:eastAsia="MS Mincho"/>
          <w:sz w:val="24"/>
          <w:szCs w:val="24"/>
        </w:rPr>
        <w:t>ГАРАНТИЙНЫЕ ОБЯЗАТЕЛЬСТВА</w:t>
      </w:r>
      <w:bookmarkEnd w:id="8"/>
    </w:p>
    <w:p>
      <w:pPr>
        <w:pStyle w:val="Normal"/>
        <w:rPr>
          <w:rFonts w:eastAsia="MS Mincho"/>
        </w:rPr>
      </w:pPr>
      <w:r>
        <w:rPr>
          <w:rFonts w:eastAsia="MS Mincho"/>
        </w:rPr>
        <w:t xml:space="preserve">Изготовитель гарантирует соответствие шкафа холодильного требованиям технических условий </w:t>
      </w:r>
      <w:r>
        <w:rPr/>
        <w:t xml:space="preserve">ТУ 28.25.13-001-34616474-2020 </w:t>
      </w:r>
      <w:r>
        <w:rPr>
          <w:rFonts w:eastAsia="MS Mincho"/>
        </w:rPr>
        <w:t>"Шкафы холодильные. Технические условия" при соблюдении условий и правил транспортирования, хранения, монтажа, эксплуатации, установленных в "Руководстве по эксплуатации".</w:t>
      </w:r>
    </w:p>
    <w:p>
      <w:pPr>
        <w:pStyle w:val="Normal"/>
        <w:numPr>
          <w:ilvl w:val="0"/>
          <w:numId w:val="2"/>
        </w:numPr>
        <w:suppressAutoHyphens w:val="true"/>
        <w:ind w:left="142" w:hanging="142"/>
        <w:rPr/>
      </w:pPr>
      <w:r>
        <w:rPr>
          <w:rFonts w:eastAsia="MS Mincho" w:cs="DIN Pro Regular"/>
          <w:szCs w:val="20"/>
        </w:rPr>
        <w:t xml:space="preserve">Гарантийный срок хранения шкафа холодильного ТМ </w:t>
      </w:r>
      <w:r>
        <w:rPr>
          <w:rFonts w:eastAsia="MS Mincho" w:cs="DIN Pro Regular"/>
          <w:szCs w:val="20"/>
          <w:lang w:val="en-US"/>
        </w:rPr>
        <w:t>ATESY</w:t>
      </w:r>
      <w:r>
        <w:rPr>
          <w:rFonts w:eastAsia="MS Mincho" w:cs="DIN Pro Regular"/>
          <w:szCs w:val="20"/>
        </w:rPr>
        <w:t xml:space="preserve"> составляет 6 (шесть) месяцев с момента производства. </w:t>
      </w:r>
    </w:p>
    <w:p>
      <w:pPr>
        <w:pStyle w:val="Normal"/>
        <w:numPr>
          <w:ilvl w:val="0"/>
          <w:numId w:val="2"/>
        </w:numPr>
        <w:suppressAutoHyphens w:val="true"/>
        <w:ind w:left="142" w:hanging="142"/>
        <w:rPr/>
      </w:pPr>
      <w:r>
        <w:rPr>
          <w:rFonts w:eastAsia="MS Mincho" w:cs="DIN Pro Regular"/>
          <w:szCs w:val="20"/>
        </w:rPr>
        <w:t xml:space="preserve">Гарантийный срок эксплуатации шкафа холодильного ТМ </w:t>
      </w:r>
      <w:r>
        <w:rPr>
          <w:rFonts w:eastAsia="MS Mincho" w:cs="DIN Pro Regular"/>
          <w:szCs w:val="20"/>
          <w:lang w:val="en-US"/>
        </w:rPr>
        <w:t>ATESY</w:t>
      </w:r>
      <w:r>
        <w:rPr>
          <w:rFonts w:eastAsia="MS Mincho" w:cs="DIN Pro Regular"/>
          <w:szCs w:val="20"/>
        </w:rPr>
        <w:t xml:space="preserve"> составляет 12 (двенадцать) месяцев со дня продажи, указанной в Гарантийном талоне (либо в ином документе, удостоверяющем дату продажи) но не более 18-ти месяцев с момента производства.</w:t>
      </w:r>
    </w:p>
    <w:p>
      <w:pPr>
        <w:pStyle w:val="Normal"/>
        <w:numPr>
          <w:ilvl w:val="0"/>
          <w:numId w:val="2"/>
        </w:numPr>
        <w:suppressAutoHyphens w:val="true"/>
        <w:ind w:left="142" w:hanging="142"/>
        <w:rPr/>
      </w:pPr>
      <w:r>
        <w:rPr>
          <w:rFonts w:eastAsia="MS Mincho" w:cs="DIN Pro Regular"/>
          <w:szCs w:val="20"/>
        </w:rPr>
        <w:t xml:space="preserve">Расширенный Гарантийный срок эксплуатации шкафа холодильного ТМ </w:t>
      </w:r>
      <w:r>
        <w:rPr>
          <w:rFonts w:eastAsia="MS Mincho" w:cs="DIN Pro Regular"/>
          <w:szCs w:val="20"/>
          <w:lang w:val="en-US"/>
        </w:rPr>
        <w:t>ATESY</w:t>
      </w:r>
      <w:r>
        <w:rPr>
          <w:rFonts w:eastAsia="MS Mincho" w:cs="DIN Pro Regular"/>
          <w:szCs w:val="20"/>
        </w:rPr>
        <w:t xml:space="preserve"> составляет 18 (восемнадцать) месяцев со дня ввода оборудования в эксплуатацию, при условии проведения пуско-наладочных работ представителями Продавца, наличия оформленного Гарантийного талона и Акта пуска в эксплуатацию (образец в Приложении А), но не более 24 (двадцати четырех) месяцев с момента производства.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 xml:space="preserve">Гарантия действительна при наличии следующих документов: </w:t>
      </w:r>
    </w:p>
    <w:p>
      <w:pPr>
        <w:pStyle w:val="ListParagraph"/>
        <w:numPr>
          <w:ilvl w:val="0"/>
          <w:numId w:val="4"/>
        </w:numPr>
        <w:rPr>
          <w:rFonts w:eastAsia="MS Mincho"/>
        </w:rPr>
      </w:pPr>
      <w:r>
        <w:rPr>
          <w:rFonts w:eastAsia="MS Mincho"/>
        </w:rPr>
        <w:t>подтверждающих дату и факт приобретения;</w:t>
      </w:r>
    </w:p>
    <w:p>
      <w:pPr>
        <w:pStyle w:val="ListParagraph"/>
        <w:numPr>
          <w:ilvl w:val="0"/>
          <w:numId w:val="4"/>
        </w:numPr>
        <w:rPr>
          <w:rFonts w:eastAsia="MS Mincho"/>
        </w:rPr>
      </w:pPr>
      <w:r>
        <w:rPr>
          <w:rFonts w:eastAsia="MS Mincho"/>
        </w:rPr>
        <w:t>гарантийного талона;</w:t>
      </w:r>
    </w:p>
    <w:p>
      <w:pPr>
        <w:pStyle w:val="ListParagraph"/>
        <w:numPr>
          <w:ilvl w:val="0"/>
          <w:numId w:val="4"/>
        </w:numPr>
        <w:rPr>
          <w:rFonts w:eastAsia="MS Mincho"/>
        </w:rPr>
      </w:pPr>
      <w:r>
        <w:rPr>
          <w:rFonts w:eastAsia="MS Mincho"/>
        </w:rPr>
        <w:t>руководства по эксплуатации;</w:t>
      </w:r>
    </w:p>
    <w:p>
      <w:pPr>
        <w:pStyle w:val="ListParagraph"/>
        <w:numPr>
          <w:ilvl w:val="0"/>
          <w:numId w:val="4"/>
        </w:numPr>
        <w:rPr>
          <w:rFonts w:eastAsia="MS Mincho"/>
        </w:rPr>
      </w:pPr>
      <w:r>
        <w:rPr>
          <w:rFonts w:eastAsia="MS Mincho"/>
        </w:rPr>
        <w:t>акта пуска в эксплуатацию (образец в Приложении А).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>Гарантийные обязательства предоставляются только сервисными центрами Продавца или другими организациями, уполномоченными Производителем.</w:t>
      </w:r>
    </w:p>
    <w:p>
      <w:pPr>
        <w:pStyle w:val="Normal"/>
        <w:rPr>
          <w:rFonts w:eastAsia="MS Mincho" w:cs="DIN Pro Regular"/>
          <w:sz w:val="8"/>
          <w:szCs w:val="8"/>
        </w:rPr>
      </w:pPr>
      <w:r>
        <w:rPr>
          <w:rFonts w:eastAsia="MS Mincho"/>
        </w:rPr>
        <w:t>Подробные условия гарантийных обязательств изложены в Гарантийном талоне.</w:t>
      </w:r>
    </w:p>
    <w:p>
      <w:pPr>
        <w:pStyle w:val="Normal"/>
        <w:rPr/>
      </w:pPr>
      <w:r>
        <w:rPr>
          <w:rFonts w:eastAsia="MS Mincho"/>
        </w:rPr>
        <w:t xml:space="preserve">В случае возникновения вопросов касающихся исполнения обязательств по гарантийному ремонту, Вы можете обратиться за информационной поддержкой в сервисную службу компании ООО </w:t>
      </w:r>
      <w:r>
        <w:rPr>
          <w:rFonts w:eastAsia="MS Mincho"/>
        </w:rPr>
        <w:t>МП</w:t>
      </w:r>
      <w:r>
        <w:rPr>
          <w:rFonts w:eastAsia="MS Mincho"/>
        </w:rPr>
        <w:t xml:space="preserve"> «</w:t>
      </w:r>
      <w:r>
        <w:rPr>
          <w:rFonts w:eastAsia="MS Mincho"/>
        </w:rPr>
        <w:t>АТЕСИ</w:t>
      </w:r>
      <w:r>
        <w:rPr>
          <w:rFonts w:eastAsia="MS Mincho"/>
        </w:rPr>
        <w:t xml:space="preserve">»: тел. </w:t>
      </w:r>
      <w:r>
        <w:rPr>
          <w:rFonts w:eastAsia="MS Mincho"/>
        </w:rPr>
        <w:t>+</w:t>
      </w:r>
      <w:r>
        <w:rPr>
          <w:rFonts w:eastAsia="MS Mincho"/>
        </w:rPr>
        <w:t>7 (</w:t>
      </w:r>
      <w:r>
        <w:rPr>
          <w:rFonts w:eastAsia="MS Mincho"/>
        </w:rPr>
        <w:t>495</w:t>
      </w:r>
      <w:r>
        <w:rPr>
          <w:rFonts w:eastAsia="MS Mincho"/>
        </w:rPr>
        <w:t xml:space="preserve">) </w:t>
      </w:r>
      <w:r>
        <w:rPr>
          <w:rFonts w:eastAsia="MS Mincho"/>
        </w:rPr>
        <w:t>995-95-99</w:t>
      </w:r>
      <w:r>
        <w:rPr>
          <w:rFonts w:eastAsia="MS Mincho"/>
        </w:rPr>
        <w:t xml:space="preserve"> </w:t>
      </w:r>
      <w:r>
        <w:rPr>
          <w:rFonts w:eastAsia="MS Mincho"/>
          <w:lang w:val="en-US"/>
        </w:rPr>
        <w:t>Email</w:t>
      </w:r>
      <w:r>
        <w:rPr>
          <w:rFonts w:eastAsia="MS Mincho"/>
        </w:rPr>
        <w:t xml:space="preserve">: </w:t>
      </w:r>
      <w:r>
        <w:rPr>
          <w:rFonts w:eastAsia="MS Mincho"/>
          <w:lang w:val="en-US"/>
        </w:rPr>
        <w:t>info</w:t>
      </w:r>
      <w:r>
        <w:rPr>
          <w:rFonts w:eastAsia="MS Mincho"/>
        </w:rPr>
        <w:t>@</w:t>
      </w:r>
      <w:r>
        <w:rPr>
          <w:rFonts w:eastAsia="MS Mincho"/>
          <w:lang w:val="en-US"/>
        </w:rPr>
        <w:t>atesy</w:t>
      </w:r>
      <w:r>
        <w:rPr>
          <w:rFonts w:eastAsia="MS Mincho"/>
        </w:rPr>
        <w:t>.</w:t>
      </w:r>
      <w:r>
        <w:rPr>
          <w:rFonts w:eastAsia="MS Mincho"/>
          <w:lang w:val="en-US"/>
        </w:rPr>
        <w:t>info</w:t>
      </w:r>
    </w:p>
    <w:p>
      <w:pPr>
        <w:pStyle w:val="Normal"/>
        <w:tabs>
          <w:tab w:val="left" w:pos="5760" w:leader="none"/>
        </w:tabs>
        <w:rPr>
          <w:rStyle w:val="Strong"/>
          <w:rFonts w:eastAsia="MS Mincho"/>
        </w:rPr>
      </w:pPr>
      <w:r>
        <w:rPr>
          <w:rStyle w:val="Strong"/>
          <w:rFonts w:eastAsia="MS Mincho"/>
        </w:rPr>
        <w:t>ГАРАНТИЙНЫЕ ОБЯЗАТЕЛЬСТВА НЕ РАСПРОСТРАНЯЮТСЯ:</w:t>
      </w:r>
    </w:p>
    <w:p>
      <w:pPr>
        <w:pStyle w:val="ListParagraph"/>
        <w:numPr>
          <w:ilvl w:val="0"/>
          <w:numId w:val="5"/>
        </w:numPr>
        <w:ind w:left="284" w:hanging="284"/>
        <w:rPr>
          <w:rFonts w:eastAsia="MS Mincho"/>
        </w:rPr>
      </w:pPr>
      <w:r>
        <w:rPr>
          <w:rFonts w:eastAsia="MS Mincho"/>
        </w:rPr>
        <w:t>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проверку параметров, смазку и т.п.);</w:t>
      </w:r>
    </w:p>
    <w:p>
      <w:pPr>
        <w:pStyle w:val="ListParagraph"/>
        <w:numPr>
          <w:ilvl w:val="0"/>
          <w:numId w:val="5"/>
        </w:numPr>
        <w:ind w:left="284" w:hanging="284"/>
        <w:rPr>
          <w:rFonts w:eastAsia="MS Mincho"/>
        </w:rPr>
      </w:pPr>
      <w:r>
        <w:rPr>
          <w:rFonts w:eastAsia="MS Mincho"/>
        </w:rPr>
        <w:t>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>
      <w:pPr>
        <w:pStyle w:val="ListParagraph"/>
        <w:numPr>
          <w:ilvl w:val="0"/>
          <w:numId w:val="5"/>
        </w:numPr>
        <w:ind w:left="284" w:hanging="284"/>
        <w:rPr>
          <w:rFonts w:eastAsia="MS Mincho"/>
        </w:rPr>
      </w:pPr>
      <w:r>
        <w:rPr>
          <w:rFonts w:eastAsia="MS Mincho"/>
        </w:rPr>
        <w:t>на неисправности любых источников освещения, в том числе сигнальных и светодиодных, аккумуляторы, предохранители, стеклопакеты, наклейки с дизайном, полки, регулировочные ножки, на элементы питания, ручки и другие быстроизнашивающиеся детали изделия, которые подвержены естественному неизбежному износу в процессе эксплуатации;</w:t>
      </w:r>
    </w:p>
    <w:p>
      <w:pPr>
        <w:pStyle w:val="ListParagraph"/>
        <w:numPr>
          <w:ilvl w:val="0"/>
          <w:numId w:val="5"/>
        </w:numPr>
        <w:ind w:left="284" w:hanging="284"/>
        <w:rPr>
          <w:rFonts w:eastAsia="MS Mincho"/>
        </w:rPr>
      </w:pPr>
      <w:r>
        <w:rPr>
          <w:rFonts w:eastAsia="MS Mincho"/>
        </w:rPr>
        <w:t>по истечению срока гарантийной эксплуатации.</w:t>
      </w:r>
    </w:p>
    <w:p>
      <w:pPr>
        <w:pStyle w:val="Normal"/>
        <w:tabs>
          <w:tab w:val="left" w:pos="5760" w:leader="none"/>
        </w:tabs>
        <w:rPr>
          <w:rStyle w:val="Strong"/>
          <w:rFonts w:eastAsia="MS Mincho"/>
          <w:i/>
          <w:i/>
        </w:rPr>
      </w:pPr>
      <w:r>
        <w:rPr>
          <w:rStyle w:val="Strong"/>
          <w:rFonts w:eastAsia="MS Mincho"/>
        </w:rPr>
        <w:t>ГАРАНТИЙНЫЕ ОБЯЗАТЕЛЬСТВА НЕ ПРЕДОСТАВЛЯЮТСЯ</w:t>
      </w:r>
      <w:r>
        <w:rPr>
          <w:rStyle w:val="Strong"/>
          <w:rFonts w:eastAsia="MS Mincho"/>
          <w:i/>
        </w:rPr>
        <w:t xml:space="preserve">, </w:t>
      </w:r>
      <w:r>
        <w:rPr>
          <w:rStyle w:val="Strong"/>
          <w:rFonts w:eastAsia="MS Mincho"/>
          <w:b w:val="false"/>
        </w:rPr>
        <w:t>если причиной неисправности изделия являются:</w:t>
      </w:r>
    </w:p>
    <w:p>
      <w:pPr>
        <w:pStyle w:val="ListParagraph"/>
        <w:numPr>
          <w:ilvl w:val="0"/>
          <w:numId w:val="5"/>
        </w:numPr>
        <w:ind w:left="284" w:hanging="284"/>
        <w:rPr>
          <w:rFonts w:eastAsia="MS Mincho"/>
        </w:rPr>
      </w:pPr>
      <w:r>
        <w:rPr>
          <w:rFonts w:eastAsia="MS Mincho"/>
        </w:rPr>
        <w:t>механические повреждения любых деталей изделия (скол, трещина, вмятина, царапина, обрыв труб и т.п.);</w:t>
      </w:r>
    </w:p>
    <w:p>
      <w:pPr>
        <w:pStyle w:val="ListParagraph"/>
        <w:numPr>
          <w:ilvl w:val="0"/>
          <w:numId w:val="5"/>
        </w:numPr>
        <w:ind w:left="284" w:hanging="284"/>
        <w:rPr>
          <w:rFonts w:eastAsia="MS Mincho"/>
        </w:rPr>
      </w:pPr>
      <w:r>
        <w:rPr>
          <w:rFonts w:eastAsia="MS Mincho"/>
        </w:rPr>
        <w:t>воздействие химически агрессивных веществ, чрезмерно высоких или низких температур, чрезмерно высокой влажности и запыленности;</w:t>
      </w:r>
    </w:p>
    <w:p>
      <w:pPr>
        <w:pStyle w:val="ListParagraph"/>
        <w:numPr>
          <w:ilvl w:val="0"/>
          <w:numId w:val="5"/>
        </w:numPr>
        <w:ind w:left="284" w:hanging="284"/>
        <w:rPr>
          <w:rFonts w:eastAsia="MS Mincho"/>
        </w:rPr>
      </w:pPr>
      <w:r>
        <w:rPr>
          <w:rFonts w:eastAsia="MS Mincho"/>
        </w:rPr>
        <w:t>любое вмешательство в работу изделия, в том числе установка, монтаж, подключение и попытка выполнения ремонта, лицами неуполномоченными Продавцом или Производителем;</w:t>
      </w:r>
    </w:p>
    <w:p>
      <w:pPr>
        <w:pStyle w:val="ListParagraph"/>
        <w:numPr>
          <w:ilvl w:val="0"/>
          <w:numId w:val="5"/>
        </w:numPr>
        <w:ind w:left="284" w:hanging="284"/>
        <w:rPr>
          <w:rFonts w:eastAsia="MS Mincho"/>
        </w:rPr>
      </w:pPr>
      <w:r>
        <w:rPr>
          <w:rFonts w:eastAsia="MS Mincho"/>
        </w:rPr>
        <w:t>отклонение стандартных параметров электросети (отклонение частоты тока от номинальной – более 0,5%, выход напряжения за пределы диапазона 220В + 10%, - 15%);</w:t>
      </w:r>
    </w:p>
    <w:p>
      <w:pPr>
        <w:pStyle w:val="ListParagraph"/>
        <w:numPr>
          <w:ilvl w:val="0"/>
          <w:numId w:val="5"/>
        </w:numPr>
        <w:ind w:left="284" w:hanging="284"/>
        <w:rPr>
          <w:rFonts w:eastAsia="MS Mincho"/>
        </w:rPr>
      </w:pPr>
      <w:r>
        <w:rPr>
          <w:rFonts w:eastAsia="MS Mincho"/>
        </w:rPr>
        <w:t>несоблюдения правил хранения, транспортировки,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>
      <w:pPr>
        <w:pStyle w:val="ListParagraph"/>
        <w:numPr>
          <w:ilvl w:val="0"/>
          <w:numId w:val="5"/>
        </w:numPr>
        <w:ind w:left="284" w:hanging="284"/>
        <w:rPr>
          <w:rFonts w:eastAsia="MS Mincho"/>
        </w:rPr>
      </w:pPr>
      <w:r>
        <w:rPr>
          <w:rFonts w:eastAsia="MS Mincho"/>
        </w:rPr>
        <w:t>отсутствия, неразборчивости или изменения заводского номера изделия;</w:t>
      </w:r>
    </w:p>
    <w:p>
      <w:pPr>
        <w:pStyle w:val="ListParagraph"/>
        <w:numPr>
          <w:ilvl w:val="0"/>
          <w:numId w:val="5"/>
        </w:numPr>
        <w:ind w:left="284" w:hanging="284"/>
        <w:rPr>
          <w:rFonts w:eastAsia="MS Mincho"/>
        </w:rPr>
      </w:pPr>
      <w:r>
        <w:rPr>
          <w:rFonts w:eastAsia="MS Mincho"/>
        </w:rPr>
        <w:t>воздействие внешних сил по не зависящим от производителя причинам (стихийные бедствия, пожар, попадание в рабочие агрегаты и приборы посторонних предметов, жидкостей, животных или насекомых).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 xml:space="preserve"> </w:t>
      </w:r>
      <w:r>
        <w:rPr>
          <w:rFonts w:eastAsia="MS Mincho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>Данные гарантийные обязательства не ограничивают определённые законом права Покупателей.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>
      <w:pPr>
        <w:pStyle w:val="Normal"/>
        <w:rPr/>
      </w:pPr>
      <w:r>
        <w:rPr>
          <w:rFonts w:eastAsia="MS Mincho"/>
        </w:rPr>
        <w:t xml:space="preserve">Информацию с Вашими замечаниями или предложениями по работе изделий ТМ </w:t>
      </w:r>
      <w:r>
        <w:rPr>
          <w:rFonts w:eastAsia="MS Mincho"/>
          <w:lang w:val="en-US"/>
        </w:rPr>
        <w:t>ATESY</w:t>
      </w:r>
      <w:r>
        <w:rPr>
          <w:rFonts w:eastAsia="MS Mincho"/>
        </w:rPr>
        <w:t xml:space="preserve"> Вы можете направить по адресу: </w:t>
      </w:r>
      <w:r>
        <w:rPr>
          <w:rFonts w:eastAsia="MS Mincho"/>
          <w:sz w:val="22"/>
          <w:szCs w:val="22"/>
        </w:rPr>
        <w:t xml:space="preserve">ООО </w:t>
      </w:r>
      <w:r>
        <w:rPr>
          <w:rFonts w:eastAsia="MS Mincho"/>
          <w:sz w:val="22"/>
          <w:szCs w:val="22"/>
        </w:rPr>
        <w:t xml:space="preserve">МП </w:t>
      </w:r>
      <w:r>
        <w:rPr>
          <w:rFonts w:eastAsia="MS Mincho"/>
          <w:sz w:val="22"/>
          <w:szCs w:val="22"/>
        </w:rPr>
        <w:t>«</w:t>
      </w:r>
      <w:r>
        <w:rPr>
          <w:rFonts w:eastAsia="MS Mincho"/>
          <w:sz w:val="22"/>
          <w:szCs w:val="22"/>
        </w:rPr>
        <w:t>АТЕСИ</w:t>
      </w:r>
      <w:r>
        <w:rPr>
          <w:rFonts w:eastAsia="MS Mincho"/>
          <w:sz w:val="22"/>
          <w:szCs w:val="22"/>
        </w:rPr>
        <w:t xml:space="preserve">» : </w:t>
      </w:r>
      <w:r>
        <w:rPr>
          <w:rFonts w:eastAsia="MS Mincho"/>
          <w:sz w:val="22"/>
          <w:szCs w:val="22"/>
        </w:rPr>
        <w:t>140000, Московская область, г. Люберцы, ул. Красная, д.1, лит. Б-Б1</w:t>
      </w:r>
      <w:r>
        <w:rPr>
          <w:color w:val="000000"/>
          <w:sz w:val="22"/>
          <w:szCs w:val="22"/>
        </w:rPr>
        <w:t xml:space="preserve">, </w:t>
      </w:r>
      <w:r>
        <w:rPr>
          <w:rFonts w:eastAsia="MS Mincho"/>
          <w:sz w:val="22"/>
          <w:szCs w:val="22"/>
        </w:rPr>
        <w:t xml:space="preserve">ООО </w:t>
      </w:r>
      <w:r>
        <w:rPr>
          <w:rFonts w:eastAsia="MS Mincho"/>
          <w:sz w:val="22"/>
          <w:szCs w:val="22"/>
        </w:rPr>
        <w:t>МП</w:t>
      </w:r>
      <w:r>
        <w:rPr>
          <w:rFonts w:eastAsia="MS Mincho"/>
          <w:sz w:val="22"/>
          <w:szCs w:val="22"/>
        </w:rPr>
        <w:t xml:space="preserve"> «А</w:t>
      </w:r>
      <w:r>
        <w:rPr>
          <w:rFonts w:eastAsia="MS Mincho"/>
          <w:sz w:val="22"/>
          <w:szCs w:val="22"/>
        </w:rPr>
        <w:t>ТЕСИ</w:t>
      </w:r>
      <w:r>
        <w:rPr>
          <w:rFonts w:eastAsia="MS Mincho"/>
          <w:sz w:val="22"/>
          <w:szCs w:val="22"/>
        </w:rPr>
        <w:t>»</w:t>
      </w:r>
      <w:r>
        <w:rPr>
          <w:color w:val="000000"/>
          <w:sz w:val="22"/>
          <w:szCs w:val="22"/>
        </w:rPr>
        <w:t xml:space="preserve"> </w:t>
      </w:r>
    </w:p>
    <w:p>
      <w:pPr>
        <w:pStyle w:val="Normal"/>
        <w:rPr/>
      </w:pPr>
      <w:r>
        <w:rPr>
          <w:rFonts w:eastAsia="MS Mincho"/>
          <w:bCs/>
          <w:sz w:val="22"/>
          <w:szCs w:val="22"/>
        </w:rPr>
        <w:t>Тел</w:t>
      </w:r>
      <w:r>
        <w:rPr>
          <w:rFonts w:eastAsia="MS Mincho"/>
          <w:bCs/>
          <w:sz w:val="22"/>
          <w:szCs w:val="22"/>
          <w:lang w:val="en-US"/>
        </w:rPr>
        <w:t xml:space="preserve">. </w:t>
      </w:r>
      <w:r>
        <w:rPr>
          <w:rFonts w:eastAsia="MS Mincho"/>
          <w:bCs/>
          <w:sz w:val="22"/>
          <w:szCs w:val="22"/>
          <w:lang w:val="ru-RU"/>
        </w:rPr>
        <w:t>+</w:t>
      </w:r>
      <w:r>
        <w:rPr>
          <w:rFonts w:eastAsia="MS Mincho"/>
          <w:bCs/>
          <w:sz w:val="22"/>
          <w:szCs w:val="22"/>
          <w:lang w:val="en-US"/>
        </w:rPr>
        <w:t>7 (</w:t>
      </w:r>
      <w:r>
        <w:rPr>
          <w:rFonts w:eastAsia="MS Mincho"/>
          <w:bCs/>
          <w:sz w:val="22"/>
          <w:szCs w:val="22"/>
          <w:lang w:val="ru-RU"/>
        </w:rPr>
        <w:t>495</w:t>
      </w:r>
      <w:r>
        <w:rPr>
          <w:rFonts w:eastAsia="MS Mincho"/>
          <w:bCs/>
          <w:sz w:val="22"/>
          <w:szCs w:val="22"/>
          <w:lang w:val="en-US"/>
        </w:rPr>
        <w:t xml:space="preserve">) </w:t>
      </w:r>
      <w:r>
        <w:rPr>
          <w:rFonts w:eastAsia="MS Mincho"/>
          <w:bCs/>
          <w:sz w:val="22"/>
          <w:szCs w:val="22"/>
          <w:lang w:val="ru-RU"/>
        </w:rPr>
        <w:t>995-95-99</w:t>
      </w:r>
      <w:r>
        <w:rPr>
          <w:color w:val="000000"/>
          <w:sz w:val="22"/>
          <w:szCs w:val="22"/>
          <w:lang w:val="en-US"/>
        </w:rPr>
        <w:t xml:space="preserve"> </w:t>
      </w:r>
      <w:r>
        <w:rPr>
          <w:rFonts w:eastAsia="MS Mincho"/>
          <w:bCs/>
          <w:sz w:val="22"/>
          <w:szCs w:val="22"/>
          <w:lang w:val="en-US"/>
        </w:rPr>
        <w:t>Email: info@</w:t>
      </w:r>
      <w:r>
        <w:rPr>
          <w:rFonts w:eastAsia="MS Mincho"/>
          <w:bCs/>
          <w:sz w:val="22"/>
          <w:szCs w:val="22"/>
          <w:lang w:val="en-US"/>
        </w:rPr>
        <w:t>atesy</w:t>
      </w:r>
      <w:r>
        <w:rPr>
          <w:rFonts w:eastAsia="MS Mincho"/>
          <w:bCs/>
          <w:sz w:val="22"/>
          <w:szCs w:val="22"/>
          <w:lang w:val="en-US"/>
        </w:rPr>
        <w:t>.</w:t>
      </w:r>
      <w:r>
        <w:rPr>
          <w:rFonts w:eastAsia="MS Mincho"/>
          <w:bCs/>
          <w:sz w:val="22"/>
          <w:szCs w:val="22"/>
          <w:lang w:val="en-US"/>
        </w:rPr>
        <w:t>info</w:t>
      </w:r>
      <w:r>
        <w:rPr>
          <w:rFonts w:eastAsia="MS Mincho"/>
          <w:bCs/>
          <w:sz w:val="22"/>
          <w:szCs w:val="22"/>
          <w:lang w:val="en-US"/>
        </w:rPr>
        <w:t xml:space="preserve"> </w:t>
        <w:tab/>
      </w:r>
    </w:p>
    <w:p>
      <w:pPr>
        <w:pStyle w:val="1"/>
        <w:numPr>
          <w:ilvl w:val="0"/>
          <w:numId w:val="3"/>
        </w:numPr>
        <w:tabs>
          <w:tab w:val="left" w:pos="360" w:leader="none"/>
        </w:tabs>
        <w:ind w:left="357" w:hanging="357"/>
        <w:rPr/>
      </w:pPr>
      <w:bookmarkStart w:id="9" w:name="_Toc37354942"/>
      <w:r>
        <w:rPr/>
        <w:t>ИСПОЛЬЗОВАНИЕ ПО НАЗНАЧЕНИЮ</w:t>
      </w:r>
      <w:bookmarkEnd w:id="9"/>
    </w:p>
    <w:p>
      <w:pPr>
        <w:pStyle w:val="Style30"/>
        <w:numPr>
          <w:ilvl w:val="0"/>
          <w:numId w:val="0"/>
        </w:numPr>
        <w:rPr>
          <w:rFonts w:eastAsia="MS Mincho"/>
          <w:sz w:val="24"/>
          <w:szCs w:val="24"/>
        </w:rPr>
      </w:pPr>
      <w:bookmarkStart w:id="10" w:name="_Toc37354943"/>
      <w:r>
        <w:rPr>
          <w:rFonts w:eastAsia="MS Mincho"/>
          <w:sz w:val="24"/>
          <w:szCs w:val="24"/>
        </w:rPr>
        <w:t>3.1 ОБЩИЕ УКАЗАНИЯ</w:t>
      </w:r>
      <w:bookmarkEnd w:id="10"/>
    </w:p>
    <w:p>
      <w:pPr>
        <w:pStyle w:val="Normal"/>
        <w:rPr>
          <w:rFonts w:eastAsia="MS Mincho"/>
        </w:rPr>
      </w:pPr>
      <w:r>
        <w:rPr>
          <w:rFonts w:eastAsia="MS Mincho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>Продолжительность срока службы шкафа и безопасность его в работе зависит от соблюдения правил эксплуатации.</w:t>
      </w:r>
    </w:p>
    <w:p>
      <w:pPr>
        <w:pStyle w:val="Style30"/>
        <w:numPr>
          <w:ilvl w:val="0"/>
          <w:numId w:val="0"/>
        </w:numPr>
        <w:rPr>
          <w:rFonts w:eastAsia="MS Mincho"/>
          <w:sz w:val="24"/>
          <w:szCs w:val="24"/>
        </w:rPr>
      </w:pPr>
      <w:bookmarkStart w:id="11" w:name="_Toc37354944"/>
      <w:r>
        <w:rPr>
          <w:rFonts w:eastAsia="MS Mincho"/>
          <w:sz w:val="24"/>
          <w:szCs w:val="24"/>
        </w:rPr>
        <w:t>3.2 МЕРЫ БЕЗОПАСНОСТИ</w:t>
      </w:r>
      <w:bookmarkEnd w:id="11"/>
    </w:p>
    <w:p>
      <w:pPr>
        <w:pStyle w:val="Normal"/>
        <w:rPr/>
      </w:pPr>
      <w:r>
        <w:rPr/>
        <w:t xml:space="preserve">Изделие должно удовлетворять требованиям безопасности согласно «Техническому регламенту Таможенного Союза ТР ТС 004/ 2011 «О безопасности низковольтного оборудования» (Решение № 768 от 16.08.2011 комиссии Таможенного Союза), Техническому регламенту Таможенного Союза ТР ТС 010/ 2011 «О безопасности машин и оборудования» (Решение № 823 от 18.10.2011 комиссии Таможенного Союза), Техническому Регламенту ТР ТС 020/ 2011 «Электромагнитная совместимость технических средств» (Решение № 789 от 09.12.2011 комиссии Таможенного Союза), а также ГОСТ 23833-95, ГОСТ IEC 60335-2-24-2012, </w:t>
      </w:r>
      <w:r>
        <w:rPr>
          <w:szCs w:val="20"/>
        </w:rPr>
        <w:t xml:space="preserve">ГОСТ МЭК 60335-1-2008, </w:t>
      </w:r>
      <w:r>
        <w:rPr/>
        <w:t>ГОСТ IEC 60335-2-89-2013.</w:t>
      </w:r>
    </w:p>
    <w:p>
      <w:pPr>
        <w:pStyle w:val="Normal"/>
        <w:rPr>
          <w:rFonts w:eastAsia="MS Mincho"/>
        </w:rPr>
      </w:pPr>
      <w:r>
        <w:rPr/>
        <w:t>По способу защиты человека от поражения электрическим током изделие относится к I классу защиты по ГОСТ МЭК 60335-1-2008.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>Степень защиты оборудования, обеспечиваемая оболочками, IP20.</w:t>
      </w:r>
    </w:p>
    <w:p>
      <w:pPr>
        <w:pStyle w:val="Normal"/>
        <w:rPr>
          <w:rStyle w:val="Style15"/>
          <w:rFonts w:cs="DIN Pro Regular"/>
          <w:i w:val="false"/>
          <w:i w:val="false"/>
          <w:sz w:val="21"/>
          <w:szCs w:val="21"/>
        </w:rPr>
      </w:pPr>
      <w:r>
        <w:rPr>
          <w:rStyle w:val="Style15"/>
          <w:rFonts w:cs="DIN Pro Regular"/>
          <w:i w:val="false"/>
          <w:sz w:val="21"/>
          <w:szCs w:val="21"/>
        </w:rPr>
        <w:t>Изделие</w:t>
      </w:r>
      <w:r>
        <w:rPr>
          <w:rStyle w:val="Style15"/>
          <w:rFonts w:cs="DIN Pro Regular"/>
          <w:b/>
          <w:i w:val="false"/>
          <w:sz w:val="21"/>
          <w:szCs w:val="21"/>
        </w:rPr>
        <w:t xml:space="preserve"> </w:t>
      </w:r>
      <w:r>
        <w:rPr>
          <w:rStyle w:val="Style15"/>
          <w:rFonts w:cs="DIN Pro Regular"/>
          <w:i w:val="false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способностями,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>
      <w:pPr>
        <w:pStyle w:val="Normal"/>
        <w:rPr>
          <w:rFonts w:eastAsia="MS Mincho"/>
        </w:rPr>
      </w:pPr>
      <w:r>
        <w:rPr>
          <w:rFonts w:eastAsia="MS Mincho"/>
          <w:b/>
        </w:rPr>
        <w:t>ВНИМАНИЕ!</w:t>
      </w:r>
      <w:r>
        <w:rPr>
          <w:rFonts w:eastAsia="MS Mincho"/>
        </w:rPr>
        <w:t xml:space="preserve"> Изделие должно быть подключено к питающей сети через автоматический выключатель комбинированной защиты с током расцепления для шкафов среднетемпературных объемом до 1,4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и низкотемпературных объемом до 0,7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включительно – 4 А; для шкафов низкотемпературных объемом 1,4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– 6,3 А.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>Сетевая вилка шкафа должна быть подключена к розетке, имеющей контакт заземления.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</w:r>
    </w:p>
    <w:p>
      <w:pPr>
        <w:pStyle w:val="Normal"/>
        <w:rPr>
          <w:rFonts w:eastAsia="MS Mincho"/>
        </w:rPr>
      </w:pPr>
      <w:r>
        <w:rPr>
          <w:rFonts w:eastAsia="MS Mincho"/>
          <w:b/>
        </w:rPr>
        <w:t xml:space="preserve">ВНИМАНИЕ! </w:t>
      </w:r>
      <w:r>
        <w:rPr>
          <w:rFonts w:eastAsia="MS Mincho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>Если появятся какие-либо признаки ненормальной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</w:r>
    </w:p>
    <w:p>
      <w:pPr>
        <w:pStyle w:val="PlainText"/>
        <w:ind w:firstLine="708"/>
        <w:rPr>
          <w:rFonts w:ascii="DIN Pro Regular" w:hAnsi="DIN Pro Regular" w:eastAsia="MS Mincho" w:cs="DIN Pro Regular"/>
          <w:sz w:val="6"/>
          <w:szCs w:val="6"/>
        </w:rPr>
      </w:pPr>
      <w:r>
        <w:rPr>
          <w:rFonts w:eastAsia="MS Mincho" w:cs="DIN Pro Regular" w:ascii="DIN Pro Regular" w:hAnsi="DIN Pro Regular"/>
          <w:sz w:val="6"/>
          <w:szCs w:val="6"/>
        </w:rPr>
      </w:r>
    </w:p>
    <w:p>
      <w:pPr>
        <w:pStyle w:val="PlainText"/>
        <w:jc w:val="center"/>
        <w:rPr>
          <w:rFonts w:ascii="DIN Pro Regular" w:hAnsi="DIN Pro Regular" w:eastAsia="MS Mincho" w:cs="DIN Pro Regular"/>
          <w:b/>
          <w:b/>
          <w:sz w:val="21"/>
          <w:szCs w:val="21"/>
        </w:rPr>
      </w:pPr>
      <w:r>
        <w:rPr>
          <w:rFonts w:eastAsia="MS Mincho" w:cs="DIN Pro Regular" w:ascii="DIN Pro Regular" w:hAnsi="DIN Pro Regular"/>
          <w:b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>
      <w:pPr>
        <w:pStyle w:val="PlainText"/>
        <w:jc w:val="center"/>
        <w:rPr>
          <w:rFonts w:ascii="DIN Pro Regular" w:hAnsi="DIN Pro Regular" w:eastAsia="MS Mincho" w:cs="DIN Pro Regular"/>
          <w:b/>
          <w:b/>
          <w:sz w:val="21"/>
          <w:szCs w:val="21"/>
        </w:rPr>
      </w:pPr>
      <w:r>
        <w:rPr>
          <w:rFonts w:eastAsia="MS Mincho" w:cs="DIN Pro Regular" w:ascii="DIN Pro Regular" w:hAnsi="DIN Pro Regular"/>
          <w:b/>
          <w:sz w:val="21"/>
          <w:szCs w:val="21"/>
        </w:rPr>
      </w:r>
    </w:p>
    <w:p>
      <w:pPr>
        <w:pStyle w:val="PlainText"/>
        <w:rPr>
          <w:rFonts w:ascii="DIN Pro Regular" w:hAnsi="DIN Pro Regular" w:eastAsia="MS Mincho" w:cs="DIN Pro Regular"/>
          <w:sz w:val="22"/>
          <w:szCs w:val="22"/>
        </w:rPr>
      </w:pPr>
      <w:r>
        <w:rPr>
          <w:rFonts w:eastAsia="MS Mincho" w:cs="DIN Pro Regular" w:ascii="DIN Pro Regular" w:hAnsi="DIN Pro Regular"/>
          <w:b/>
          <w:sz w:val="26"/>
          <w:szCs w:val="26"/>
        </w:rPr>
        <w:t xml:space="preserve">ВНИМАНИЕ! </w:t>
      </w:r>
      <w:r>
        <w:rPr>
          <w:rFonts w:eastAsia="MS Mincho" w:cs="DIN Pro Regular" w:ascii="DIN Pro Regular" w:hAnsi="DIN Pro Regular"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>
      <w:pPr>
        <w:pStyle w:val="PlainText"/>
        <w:rPr>
          <w:rFonts w:ascii="DIN Pro Regular" w:hAnsi="DIN Pro Regular" w:eastAsia="MS Mincho" w:cs="DIN Pro Regular"/>
          <w:sz w:val="22"/>
          <w:szCs w:val="22"/>
        </w:rPr>
      </w:pPr>
      <w:r>
        <w:rPr>
          <w:rFonts w:eastAsia="MS Mincho" w:cs="DIN Pro Regular" w:ascii="DIN Pro Regular" w:hAnsi="DIN Pro Regular"/>
          <w:sz w:val="22"/>
          <w:szCs w:val="22"/>
        </w:rPr>
      </w:r>
    </w:p>
    <w:p>
      <w:pPr>
        <w:pStyle w:val="Style30"/>
        <w:numPr>
          <w:ilvl w:val="0"/>
          <w:numId w:val="0"/>
        </w:numPr>
        <w:rPr>
          <w:rFonts w:eastAsia="MS Mincho"/>
          <w:sz w:val="24"/>
          <w:szCs w:val="24"/>
        </w:rPr>
      </w:pPr>
      <w:bookmarkStart w:id="12" w:name="_Toc37354945"/>
      <w:r>
        <w:rPr>
          <w:rFonts w:eastAsia="MS Mincho"/>
          <w:sz w:val="24"/>
          <w:szCs w:val="24"/>
        </w:rPr>
        <w:t>3.3. УСТАНОВКА ИЗДЕЛИЯ</w:t>
      </w:r>
      <w:bookmarkEnd w:id="12"/>
    </w:p>
    <w:p>
      <w:pPr>
        <w:pStyle w:val="Normal"/>
        <w:rPr>
          <w:rFonts w:eastAsia="MS Mincho"/>
        </w:rPr>
      </w:pPr>
      <w:r>
        <w:rPr>
          <w:rFonts w:eastAsia="MS Mincho"/>
        </w:rPr>
        <w:t>Навеска двери шкафа объемом 0,7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и 0,5 м</w:t>
      </w:r>
      <w:r>
        <w:rPr>
          <w:rFonts w:eastAsia="MS Mincho"/>
          <w:vertAlign w:val="superscript"/>
        </w:rPr>
        <w:t>3</w:t>
      </w:r>
      <w:r>
        <w:rPr>
          <w:rFonts w:eastAsia="MS Mincho"/>
        </w:rPr>
        <w:t xml:space="preserve"> правая. Необходимость левой навески уточняется при заказе.</w:t>
      </w:r>
    </w:p>
    <w:p>
      <w:pPr>
        <w:pStyle w:val="PlainText"/>
        <w:numPr>
          <w:ilvl w:val="2"/>
          <w:numId w:val="1"/>
        </w:numPr>
        <w:ind w:left="567" w:hanging="567"/>
        <w:rPr>
          <w:rFonts w:ascii="DIN Pro Regular" w:hAnsi="DIN Pro Regular" w:eastAsia="MS Mincho" w:cs="DIN Pro Regular"/>
          <w:b/>
          <w:b/>
        </w:rPr>
      </w:pPr>
      <w:r>
        <w:rPr>
          <w:rFonts w:eastAsia="MS Mincho" w:cs="DIN Pro Regular" w:ascii="DIN Pro Regular" w:hAnsi="DIN Pro Regular"/>
          <w:b/>
        </w:rPr>
        <w:t>Шкафы на ножках регулируемых</w:t>
      </w:r>
    </w:p>
    <w:p>
      <w:pPr>
        <w:pStyle w:val="Normal"/>
        <w:rPr>
          <w:rFonts w:eastAsia="MS Mincho"/>
          <w:b/>
          <w:b/>
          <w:bCs/>
          <w:i/>
          <w:i/>
        </w:rPr>
      </w:pPr>
      <w:r>
        <w:rPr>
          <w:rFonts w:eastAsia="MS Mincho"/>
        </w:rPr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</w:r>
    </w:p>
    <w:p>
      <w:pPr>
        <w:pStyle w:val="Normal"/>
        <w:rPr>
          <w:rFonts w:eastAsia="MS Mincho"/>
        </w:rPr>
      </w:pPr>
      <w:r>
        <w:rPr>
          <w:rFonts w:eastAsia="MS Mincho"/>
          <w:b/>
          <w:sz w:val="22"/>
          <w:szCs w:val="22"/>
        </w:rPr>
        <w:t>ВНИМАНИЕ!</w:t>
      </w:r>
      <w:r>
        <w:rPr>
          <w:rFonts w:eastAsia="MS Mincho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>Для нормальной работы шкафа необходимо: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 xml:space="preserve">установить шкаф на место эксплуатации в вентилируемом помещении на расстоянии 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>от источников тепла не менее 1,5 м;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 xml:space="preserve"> </w:t>
      </w:r>
      <w:r>
        <w:rPr>
          <w:rFonts w:eastAsia="MS Mincho"/>
        </w:rPr>
        <w:t xml:space="preserve">- обеспечить хорошую циркуляцию воздуха в верхней части шкафа, где расположен компрессорный блок; 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 xml:space="preserve"> </w:t>
      </w:r>
      <w:r>
        <w:rPr>
          <w:rFonts w:eastAsia="MS Mincho"/>
        </w:rPr>
        <w:t>- расстояние от потолка до верхней точки шкафа должно быть не менее 300 мм;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 xml:space="preserve"> </w:t>
      </w:r>
      <w:r>
        <w:rPr>
          <w:rFonts w:eastAsia="MS Mincho"/>
        </w:rPr>
        <w:t xml:space="preserve">- максимальная температура окружающего воздуха должна быть не выше 40 </w:t>
      </w:r>
      <w:r>
        <w:rPr>
          <w:rFonts w:eastAsia="Symbol" w:cs="Symbol" w:ascii="Symbol" w:hAnsi="Symbol"/>
        </w:rPr>
        <w:t></w:t>
      </w:r>
      <w:r>
        <w:rPr>
          <w:rFonts w:eastAsia="MS Mincho"/>
        </w:rPr>
        <w:t xml:space="preserve">С (для шкафов со стеклянными дверьми не выше 32 </w:t>
      </w:r>
      <w:r>
        <w:rPr>
          <w:rFonts w:eastAsia="Symbol" w:cs="Symbol" w:ascii="Symbol" w:hAnsi="Symbol"/>
        </w:rPr>
        <w:t></w:t>
      </w:r>
      <w:r>
        <w:rPr>
          <w:rFonts w:eastAsia="MS Mincho"/>
        </w:rPr>
        <w:t>С);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 xml:space="preserve"> </w:t>
      </w:r>
      <w:r>
        <w:rPr>
          <w:rFonts w:eastAsia="MS Mincho"/>
        </w:rPr>
        <w:t>- 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>
      <w:pPr>
        <w:pStyle w:val="Normal"/>
        <w:rPr>
          <w:rFonts w:eastAsia="MS Mincho" w:cs="DIN Pro Regular"/>
          <w:sz w:val="12"/>
          <w:szCs w:val="12"/>
        </w:rPr>
      </w:pPr>
      <w:r>
        <w:rPr>
          <w:rFonts w:eastAsia="MS Mincho" w:cs="DIN Pro Regular"/>
          <w:sz w:val="12"/>
          <w:szCs w:val="12"/>
        </w:rPr>
      </w:r>
    </w:p>
    <w:p>
      <w:pPr>
        <w:pStyle w:val="Style30"/>
        <w:numPr>
          <w:ilvl w:val="0"/>
          <w:numId w:val="0"/>
        </w:numPr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 </w:t>
      </w:r>
      <w:bookmarkStart w:id="13" w:name="_Toc37354946"/>
      <w:r>
        <w:rPr>
          <w:rFonts w:eastAsia="MS Mincho"/>
          <w:sz w:val="24"/>
          <w:szCs w:val="24"/>
        </w:rPr>
        <w:t>3.4. ПОРЯДОК РАБОТЫ</w:t>
      </w:r>
      <w:bookmarkEnd w:id="13"/>
    </w:p>
    <w:p>
      <w:pPr>
        <w:pStyle w:val="Normal"/>
        <w:rPr/>
      </w:pPr>
      <w:r>
        <w:rPr>
          <w:b/>
        </w:rPr>
        <w:t>ВНИМАНИЕ!</w:t>
      </w:r>
      <w:r>
        <w:rPr/>
        <w:t xml:space="preserve"> 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>
      <w:pPr>
        <w:pStyle w:val="Normal"/>
        <w:rPr/>
      </w:pPr>
      <w:r>
        <w:rPr/>
        <w:t>Вставить вилку сетевого кабеля в розетку и включить автоматический выключатель на электрощите.</w:t>
      </w:r>
    </w:p>
    <w:p>
      <w:pPr>
        <w:pStyle w:val="Normal"/>
        <w:rPr/>
      </w:pPr>
      <w:r>
        <w:rPr>
          <w:rFonts w:eastAsia="MS Mincho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контроллера. Через 5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С(вкладывается)).</w:t>
      </w:r>
      <w:r>
        <w:rPr/>
        <w:t xml:space="preserve"> </w:t>
      </w:r>
    </w:p>
    <w:p>
      <w:pPr>
        <w:pStyle w:val="Normal"/>
        <w:rPr/>
      </w:pPr>
      <w:r>
        <w:rPr/>
        <w:t xml:space="preserve">Дайте шкафу проработать пустым не менее 30 мин и проверьте понижение температуры во внутреннем объеме. </w:t>
      </w:r>
    </w:p>
    <w:p>
      <w:pPr>
        <w:pStyle w:val="Normal"/>
        <w:rPr/>
      </w:pPr>
      <w:r>
        <w:rPr/>
        <w:t>Для нормальной работы шкафа и поддержания во внутреннем объеме заданной температуры необходимо:</w:t>
      </w:r>
    </w:p>
    <w:p>
      <w:pPr>
        <w:pStyle w:val="ListParagraph"/>
        <w:numPr>
          <w:ilvl w:val="0"/>
          <w:numId w:val="6"/>
        </w:numPr>
        <w:rPr/>
      </w:pPr>
      <w:r>
        <w:rPr/>
        <w:t>использовать в шкафе только полки-решетки, входящие в комплект поставки;</w:t>
      </w:r>
    </w:p>
    <w:p>
      <w:pPr>
        <w:pStyle w:val="ListParagraph"/>
        <w:numPr>
          <w:ilvl w:val="0"/>
          <w:numId w:val="6"/>
        </w:numPr>
        <w:rPr/>
      </w:pPr>
      <w:r>
        <w:rPr/>
        <w:t>шкаф загружать продуктами, охлажденными до этой температуры;</w:t>
      </w:r>
    </w:p>
    <w:p>
      <w:pPr>
        <w:pStyle w:val="ListParagraph"/>
        <w:numPr>
          <w:ilvl w:val="0"/>
          <w:numId w:val="6"/>
        </w:numPr>
        <w:rPr/>
      </w:pPr>
      <w:r>
        <w:rPr/>
        <w:t>при загрузке и выгрузке продуктов двери шкафа открывать на минимально короткое время;</w:t>
      </w:r>
    </w:p>
    <w:p>
      <w:pPr>
        <w:pStyle w:val="ListParagraph"/>
        <w:numPr>
          <w:ilvl w:val="0"/>
          <w:numId w:val="6"/>
        </w:numPr>
        <w:rPr/>
      </w:pPr>
      <w:r>
        <w:rPr/>
        <w:t>линию загрузки полок шкафа продуктами ограничивать площадью полок, расстояние между продуктами и вышестоящей полкой должно быть не менее 50 мм, а расстояние между продуктами на верхней полке и вентилятором испарителя не менее 100 мм;</w:t>
      </w:r>
    </w:p>
    <w:p>
      <w:pPr>
        <w:pStyle w:val="ListParagraph"/>
        <w:numPr>
          <w:ilvl w:val="0"/>
          <w:numId w:val="6"/>
        </w:numPr>
        <w:rPr/>
      </w:pPr>
      <w:r>
        <w:rPr/>
        <w:t>укладывать продукты с зазором во избежание нарушения циркуляции воздуха во внутреннем объеме.</w:t>
      </w:r>
    </w:p>
    <w:p>
      <w:pPr>
        <w:pStyle w:val="Normal"/>
        <w:rPr/>
      </w:pPr>
      <w:r>
        <w:rPr/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>
      <w:pPr>
        <w:pStyle w:val="Normal"/>
        <w:rPr/>
      </w:pPr>
      <w:r>
        <w:rPr/>
        <w:t>Основными признаками нормальной работы холодильного шкафа являются:</w:t>
      </w:r>
    </w:p>
    <w:p>
      <w:pPr>
        <w:pStyle w:val="ListParagraph"/>
        <w:numPr>
          <w:ilvl w:val="0"/>
          <w:numId w:val="6"/>
        </w:numPr>
        <w:rPr/>
      </w:pPr>
      <w:r>
        <w:rPr/>
        <w:t>температура во внутреннем объеме соответствует заданной;</w:t>
      </w:r>
    </w:p>
    <w:p>
      <w:pPr>
        <w:pStyle w:val="ListParagraph"/>
        <w:numPr>
          <w:ilvl w:val="0"/>
          <w:numId w:val="6"/>
        </w:numPr>
        <w:rPr/>
      </w:pPr>
      <w:r>
        <w:rPr/>
        <w:t>холодильная машина работает циклично.</w:t>
      </w:r>
    </w:p>
    <w:p>
      <w:pPr>
        <w:pStyle w:val="Normal"/>
        <w:rPr/>
      </w:pPr>
      <w:r>
        <w:rPr>
          <w:rFonts w:eastAsia="MS Mincho" w:cs="" w:ascii="DIN Pro Medium" w:hAnsi="DIN Pro Medium" w:cstheme="minorBidi"/>
          <w:sz w:val="24"/>
        </w:rPr>
        <w:t>3.5. ВОЗМОЖНЫЕ НЕИСПРАВНОСТИ И МЕТОДЫ ИХ УСТРАНЕНИЯ</w:t>
      </w:r>
    </w:p>
    <w:p>
      <w:pPr>
        <w:pStyle w:val="Normal"/>
        <w:rPr/>
      </w:pPr>
      <w:r>
        <w:rPr/>
        <w:t xml:space="preserve">При возникновении неисправностей необходимо вызвать механика из уполномоченной поставщиком (продавцом) оборудования специализированной сервисной организации. </w:t>
      </w:r>
    </w:p>
    <w:p>
      <w:pPr>
        <w:pStyle w:val="Normal"/>
        <w:rPr/>
      </w:pPr>
      <w:r>
        <w:rPr/>
        <w:t>Возможные неисправности и способы их устранения представлены в табл.3.</w:t>
      </w:r>
    </w:p>
    <w:p>
      <w:pPr>
        <w:pStyle w:val="Normal"/>
        <w:rPr/>
      </w:pPr>
      <w:r>
        <w:rPr>
          <w:b/>
        </w:rPr>
        <w:t>ВНИМАНИЕ!</w:t>
      </w:r>
      <w:r>
        <w:rPr/>
        <w:t xml:space="preserve"> Все проводимые замены производить только после отключения шкафа от сети питания.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  <w:t>При повреждении шнура питания его необходимо заменить на шнур ПВС-ВП 3х1,5 с залитой вилкой или аналогичный.</w:t>
      </w:r>
    </w:p>
    <w:p>
      <w:pPr>
        <w:pStyle w:val="Normal"/>
        <w:rPr>
          <w:rFonts w:eastAsia="MS Mincho"/>
        </w:rPr>
      </w:pPr>
      <w:r>
        <w:rPr>
          <w:rFonts w:eastAsia="MS Mincho"/>
        </w:rPr>
      </w:r>
      <w:r>
        <w:br w:type="page"/>
      </w:r>
    </w:p>
    <w:p>
      <w:pPr>
        <w:pStyle w:val="Caption"/>
        <w:keepNext w:val="true"/>
        <w:rPr/>
      </w:pPr>
      <w:r>
        <w:rPr/>
        <w:t xml:space="preserve">Таблица </w:t>
      </w:r>
      <w:r>
        <w:rPr/>
        <w:fldChar w:fldCharType="begin"/>
      </w:r>
      <w:r>
        <w:rPr/>
        <w:instrText> SEQ Таблица \* ARABIC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/>
        <w:t>. Перечень возможных неисправностей и способы их устранения</w:t>
      </w:r>
    </w:p>
    <w:tbl>
      <w:tblPr>
        <w:tblW w:w="10490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0"/>
        <w:gridCol w:w="2836"/>
        <w:gridCol w:w="4644"/>
      </w:tblGrid>
      <w:tr>
        <w:trPr>
          <w:trHeight w:val="722" w:hRule="atLeast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tLeast" w:line="240" w:before="0" w:after="0"/>
              <w:rPr>
                <w:rFonts w:eastAsia="MS Mincho"/>
              </w:rPr>
            </w:pPr>
            <w:r>
              <w:rPr>
                <w:rFonts w:eastAsia="MS Mincho"/>
              </w:rPr>
              <w:t>Вид неисправности,</w:t>
            </w:r>
          </w:p>
          <w:p>
            <w:pPr>
              <w:pStyle w:val="Normal"/>
              <w:spacing w:lineRule="atLeast" w:line="240" w:before="0" w:after="0"/>
              <w:rPr>
                <w:rFonts w:eastAsia="MS Mincho"/>
              </w:rPr>
            </w:pPr>
            <w:r>
              <w:rPr>
                <w:rFonts w:eastAsia="MS Mincho"/>
              </w:rPr>
              <w:t>Внешнее проявление и</w:t>
            </w:r>
          </w:p>
          <w:p>
            <w:pPr>
              <w:pStyle w:val="Normal"/>
              <w:spacing w:lineRule="atLeast" w:line="240" w:before="0" w:after="0"/>
              <w:rPr>
                <w:rFonts w:eastAsia="MS Mincho"/>
              </w:rPr>
            </w:pPr>
            <w:r>
              <w:rPr>
                <w:rFonts w:eastAsia="MS Mincho"/>
              </w:rPr>
              <w:t>Дополнительные признаки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120" w:after="120"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Вероятная причина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120" w:after="120"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</w:r>
          </w:p>
          <w:p>
            <w:pPr>
              <w:pStyle w:val="Normal"/>
              <w:spacing w:before="120" w:after="120"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Способы устранения</w:t>
            </w:r>
          </w:p>
        </w:tc>
      </w:tr>
      <w:tr>
        <w:trPr/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1. Холодильный шкаф не работает, не горит лампочка "сеть"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Нет электропитания на клеммах клавишного выключателя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Проверить состояние сетевого кабеля и при необходимости отремонтировать. </w:t>
            </w:r>
          </w:p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Проверить состояние клеммных соединений выключателя и при необходимости исправить</w:t>
            </w:r>
          </w:p>
        </w:tc>
      </w:tr>
      <w:tr>
        <w:trPr/>
        <w:tc>
          <w:tcPr>
            <w:tcW w:w="3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2. Холодильный шкаф работает долго или непрерывно. </w:t>
            </w:r>
          </w:p>
          <w:p>
            <w:pPr>
              <w:pStyle w:val="Normal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</w:r>
          </w:p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Частая загрузка шкафа теплыми продуктами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Избегать загрузки шкафа горячими и теплыми продуктами. Уменьшить грузооборот продуктов</w:t>
            </w:r>
          </w:p>
        </w:tc>
      </w:tr>
      <w:tr>
        <w:trPr/>
        <w:tc>
          <w:tcPr>
            <w:tcW w:w="30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</w: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Слишком частое открывание дверей</w:t>
            </w:r>
          </w:p>
        </w:tc>
        <w:tc>
          <w:tcPr>
            <w:tcW w:w="4644" w:type="dxa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Уменьшить частоту открывания дверей</w:t>
            </w:r>
          </w:p>
        </w:tc>
      </w:tr>
      <w:tr>
        <w:trPr/>
        <w:tc>
          <w:tcPr>
            <w:tcW w:w="30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</w: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Испаритель покрыт толстым слоем льда </w:t>
            </w:r>
          </w:p>
        </w:tc>
        <w:tc>
          <w:tcPr>
            <w:tcW w:w="4644" w:type="dxa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Оттаять испаритель, уменьшив время между оттайками</w:t>
            </w:r>
          </w:p>
        </w:tc>
      </w:tr>
      <w:tr>
        <w:trPr/>
        <w:tc>
          <w:tcPr>
            <w:tcW w:w="30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Нарушена герметичность шкафа</w:t>
            </w:r>
          </w:p>
        </w:tc>
        <w:tc>
          <w:tcPr>
            <w:tcW w:w="4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Проверить уплотнение дверей, в случае необходимости исправить</w:t>
            </w:r>
          </w:p>
        </w:tc>
      </w:tr>
      <w:tr>
        <w:trPr>
          <w:trHeight w:val="816" w:hRule="atLeast"/>
        </w:trPr>
        <w:tc>
          <w:tcPr>
            <w:tcW w:w="3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3. Холодильный шкаф работает короткими циклами. </w:t>
            </w:r>
          </w:p>
          <w:p>
            <w:pPr>
              <w:pStyle w:val="Normal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</w:r>
          </w:p>
          <w:p>
            <w:pPr>
              <w:pStyle w:val="Normal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В шкафу не поддерживается устойчиво заданная температура</w:t>
            </w:r>
          </w:p>
          <w:p>
            <w:pPr>
              <w:pStyle w:val="Normal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</w:r>
          </w:p>
          <w:p>
            <w:pPr>
              <w:pStyle w:val="Normal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</w:r>
          </w:p>
          <w:p>
            <w:pPr>
              <w:pStyle w:val="Normal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</w:r>
          </w:p>
          <w:p>
            <w:pPr>
              <w:pStyle w:val="Normal"/>
              <w:spacing w:before="120" w:after="120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Шкаф слишком плотно загружен продуктами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При загрузке обеспечивать свободный поток воздуха между полками с продуктами</w:t>
            </w:r>
          </w:p>
        </w:tc>
      </w:tr>
      <w:tr>
        <w:trPr/>
        <w:tc>
          <w:tcPr>
            <w:tcW w:w="30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</w:r>
          </w:p>
        </w:tc>
        <w:tc>
          <w:tcPr>
            <w:tcW w:w="2836" w:type="dxa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Слишком высокая температура окружающей среды</w:t>
            </w:r>
          </w:p>
        </w:tc>
        <w:tc>
          <w:tcPr>
            <w:tcW w:w="4644" w:type="dxa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 xml:space="preserve">Шкаф эксплуатировать при температуре окружающей среды не выше +40°С (для шкафов со стеклянными дверьми не выше 32 </w:t>
            </w:r>
            <w:r>
              <w:rPr>
                <w:rFonts w:eastAsia="Symbol" w:cs="Symbol" w:ascii="Symbol" w:hAnsi="Symbol"/>
                <w:sz w:val="19"/>
                <w:szCs w:val="19"/>
              </w:rPr>
              <w:t></w:t>
            </w:r>
            <w:r>
              <w:rPr>
                <w:rFonts w:eastAsia="MS Mincho"/>
                <w:sz w:val="19"/>
                <w:szCs w:val="19"/>
              </w:rPr>
              <w:t>С);</w:t>
            </w:r>
          </w:p>
        </w:tc>
      </w:tr>
      <w:tr>
        <w:trPr/>
        <w:tc>
          <w:tcPr>
            <w:tcW w:w="30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120" w:after="120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Проверить уплотнение. Проверить доступ воздуха в вентилятор. Обеспечивать зазор между верхней частью шкафа и потолком помещения не менее 300мм</w:t>
            </w:r>
          </w:p>
        </w:tc>
      </w:tr>
      <w:tr>
        <w:trPr/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3"/>
              </w:numPr>
              <w:spacing w:before="120" w:after="120"/>
              <w:ind w:left="459" w:hanging="459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Со стороны задней наружной стенки шкафа стекает конденсат на пол.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Слишком высокая температура окружающей среды и влажность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before="120" w:after="120"/>
              <w:jc w:val="both"/>
              <w:rPr>
                <w:rFonts w:eastAsia="MS Mincho"/>
                <w:sz w:val="19"/>
                <w:szCs w:val="19"/>
              </w:rPr>
            </w:pPr>
            <w:r>
              <w:rPr>
                <w:rFonts w:eastAsia="MS Mincho"/>
                <w:sz w:val="19"/>
                <w:szCs w:val="19"/>
              </w:rPr>
              <w:t>Одеть дренажный шланг на штуцер перелива, расположенный на ванне выпаривания конденсата на задней наружной стенке шкафа. Вывести шланг в канализацию. (диаметр шланга 16 мм).</w:t>
            </w:r>
          </w:p>
        </w:tc>
      </w:tr>
    </w:tbl>
    <w:p>
      <w:pPr>
        <w:pStyle w:val="Normal"/>
        <w:rPr>
          <w:rFonts w:ascii="DIN Pro Medium" w:hAnsi="DIN Pro Medium" w:eastAsia="MS Mincho" w:cs="" w:cstheme="minorBidi"/>
          <w:sz w:val="24"/>
        </w:rPr>
      </w:pPr>
      <w:r>
        <w:rPr>
          <w:rFonts w:eastAsia="MS Mincho" w:cs="" w:ascii="DIN Pro Medium" w:hAnsi="DIN Pro Medium" w:cstheme="minorBidi"/>
          <w:sz w:val="24"/>
        </w:rPr>
        <w:t>3.6. ПРАВИЛА ХРАНЕНИЯ</w:t>
      </w:r>
    </w:p>
    <w:p>
      <w:pPr>
        <w:pStyle w:val="Normal"/>
        <w:rPr>
          <w:rFonts w:cs="DIN Pro Regular"/>
          <w:sz w:val="21"/>
          <w:szCs w:val="21"/>
        </w:rPr>
      </w:pPr>
      <w:r>
        <w:rPr>
          <w:rFonts w:cs="DIN Pro Regular"/>
          <w:sz w:val="21"/>
          <w:szCs w:val="21"/>
        </w:rPr>
        <w:t>Изделие должно храниться в упакованном виде по условиям воздействия на него климатических факторов по группе 3 ГОСТ 15150 и температуре не ниже минус 35°С.</w:t>
      </w:r>
    </w:p>
    <w:p>
      <w:pPr>
        <w:pStyle w:val="Normal"/>
        <w:rPr>
          <w:rFonts w:cs="DIN Pro Regular"/>
          <w:sz w:val="21"/>
          <w:szCs w:val="21"/>
        </w:rPr>
      </w:pPr>
      <w:r>
        <w:rPr>
          <w:rFonts w:cs="DIN Pro Regular"/>
          <w:sz w:val="21"/>
          <w:szCs w:val="21"/>
        </w:rPr>
        <w:t>Гарантийный срок хранения – не более 6 месяцев.</w:t>
      </w:r>
    </w:p>
    <w:p>
      <w:pPr>
        <w:pStyle w:val="Normal"/>
        <w:rPr>
          <w:rFonts w:ascii="DIN Pro Medium" w:hAnsi="DIN Pro Medium" w:eastAsia="MS Mincho" w:cs="" w:cstheme="minorBidi"/>
          <w:sz w:val="24"/>
        </w:rPr>
      </w:pPr>
      <w:r>
        <w:rPr>
          <w:rFonts w:eastAsia="MS Mincho" w:cs="" w:ascii="DIN Pro Medium" w:hAnsi="DIN Pro Medium" w:cstheme="minorBidi"/>
          <w:sz w:val="24"/>
        </w:rPr>
        <w:t>3.7. ТРАНСПОРТИРОВАНИЕ</w:t>
      </w:r>
    </w:p>
    <w:p>
      <w:pPr>
        <w:pStyle w:val="BodyTextIndent2"/>
        <w:ind w:hanging="0"/>
        <w:rPr>
          <w:rFonts w:ascii="DIN Pro Regular" w:hAnsi="DIN Pro Regular" w:cs="DIN Pro Regular"/>
          <w:b w:val="false"/>
          <w:b w:val="false"/>
          <w:sz w:val="21"/>
          <w:szCs w:val="21"/>
        </w:rPr>
      </w:pPr>
      <w:r>
        <w:rPr>
          <w:rFonts w:cs="DIN Pro Regular" w:ascii="DIN Pro Regular" w:hAnsi="DIN Pro Regular"/>
          <w:b w:val="false"/>
          <w:sz w:val="21"/>
          <w:szCs w:val="21"/>
        </w:rPr>
        <w:t xml:space="preserve">Упакованный шкаф допускается транспортировать всеми видами транспорта за исключением воздушного. </w:t>
      </w:r>
      <w:r>
        <w:rPr>
          <w:rFonts w:eastAsia="MS Mincho" w:cs="DIN Pro Regular" w:ascii="DIN Pro Regular" w:hAnsi="DIN Pro Regular"/>
          <w:b w:val="false"/>
          <w:sz w:val="21"/>
          <w:szCs w:val="21"/>
        </w:rPr>
        <w:t>При транспортировании должны быть обеспечены:</w:t>
      </w:r>
      <w:r>
        <w:rPr>
          <w:rFonts w:eastAsia="MS Mincho" w:cs="DIN Pro Regular" w:ascii="DIN Pro Regular" w:hAnsi="DIN Pro Regular"/>
          <w:sz w:val="21"/>
          <w:szCs w:val="21"/>
        </w:rPr>
        <w:t xml:space="preserve"> </w:t>
      </w:r>
    </w:p>
    <w:p>
      <w:pPr>
        <w:pStyle w:val="PlainText"/>
        <w:numPr>
          <w:ilvl w:val="0"/>
          <w:numId w:val="8"/>
        </w:numPr>
        <w:rPr>
          <w:rFonts w:ascii="DIN Pro Regular" w:hAnsi="DIN Pro Regular" w:eastAsia="MS Mincho" w:cs="DIN Pro Regular"/>
          <w:sz w:val="21"/>
          <w:szCs w:val="21"/>
        </w:rPr>
      </w:pPr>
      <w:r>
        <w:rPr>
          <w:rFonts w:eastAsia="MS Mincho" w:cs="DIN Pro Regular" w:ascii="DIN Pro Regular" w:hAnsi="DIN Pro Regular"/>
          <w:sz w:val="21"/>
          <w:szCs w:val="21"/>
        </w:rPr>
        <w:t>защита от механических повреждений;</w:t>
      </w:r>
    </w:p>
    <w:p>
      <w:pPr>
        <w:pStyle w:val="PlainText"/>
        <w:numPr>
          <w:ilvl w:val="0"/>
          <w:numId w:val="8"/>
        </w:numPr>
        <w:rPr>
          <w:rFonts w:ascii="DIN Pro Regular" w:hAnsi="DIN Pro Regular" w:eastAsia="MS Mincho" w:cs="DIN Pro Regular"/>
          <w:sz w:val="21"/>
          <w:szCs w:val="21"/>
        </w:rPr>
      </w:pPr>
      <w:r>
        <w:rPr>
          <w:rFonts w:eastAsia="MS Mincho" w:cs="DIN Pro Regular" w:ascii="DIN Pro Regular" w:hAnsi="DIN Pro Regular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>
      <w:pPr>
        <w:pStyle w:val="PlainText"/>
        <w:jc w:val="center"/>
        <w:rPr>
          <w:rStyle w:val="Strong"/>
          <w:rFonts w:eastAsia="MS Mincho"/>
          <w:i/>
          <w:i/>
        </w:rPr>
      </w:pPr>
      <w:r>
        <w:rPr>
          <w:rStyle w:val="Strong"/>
          <w:rFonts w:eastAsia="MS Mincho"/>
          <w:i/>
        </w:rPr>
        <w:t>КАНТОВАТЬ ШКАФ ЗАПРЕЩАЕТСЯ!</w:t>
      </w:r>
    </w:p>
    <w:p>
      <w:pPr>
        <w:pStyle w:val="PlainText"/>
        <w:jc w:val="center"/>
        <w:rPr>
          <w:rStyle w:val="Strong"/>
          <w:i/>
          <w:i/>
        </w:rPr>
      </w:pPr>
      <w:r>
        <w:rPr>
          <w:rStyle w:val="Strong"/>
          <w:rFonts w:eastAsia="MS Mincho"/>
          <w:i/>
        </w:rPr>
        <w:t xml:space="preserve">ПЕРЕМЕЩАТЬ ШКАФ ТОЛЬКО В ВЕРТИКАЛЬНОМ </w:t>
      </w:r>
      <w:r>
        <w:rPr>
          <w:rStyle w:val="Strong"/>
          <w:i/>
        </w:rPr>
        <w:t>ПОЛОЖЕНИИ!</w:t>
      </w:r>
    </w:p>
    <w:p>
      <w:pPr>
        <w:pStyle w:val="PlainText"/>
        <w:jc w:val="center"/>
        <w:rPr>
          <w:rFonts w:ascii="DIN Pro Medium" w:hAnsi="DIN Pro Medium" w:eastAsia="MS Mincho" w:cs="" w:cstheme="minorBidi"/>
          <w:sz w:val="24"/>
        </w:rPr>
      </w:pPr>
      <w:r>
        <w:rPr>
          <w:rFonts w:eastAsia="MS Mincho" w:cs="" w:ascii="DIN Pro Medium" w:hAnsi="DIN Pro Medium" w:cstheme="minorBidi"/>
          <w:sz w:val="24"/>
        </w:rPr>
        <w:t xml:space="preserve">3.8. РЕКОМЕНДАЦИИ ПО УДАЛЕНИЮ И УТИЛИЗАЦИИ ОТХОДОВ И ЗАЩИТЕ ОКРУЖАЮЩЕЙ СРЕДЫ </w:t>
      </w:r>
    </w:p>
    <w:p>
      <w:pPr>
        <w:pStyle w:val="Normal"/>
        <w:rPr>
          <w:rStyle w:val="FontStyle74"/>
          <w:rFonts w:ascii="DIN Pro Regular" w:hAnsi="DIN Pro Regular" w:cs="DIN Pro Regular"/>
          <w:sz w:val="21"/>
          <w:szCs w:val="21"/>
        </w:rPr>
      </w:pPr>
      <w:r>
        <w:rPr>
          <w:rStyle w:val="FontStyle74"/>
          <w:rFonts w:cs="DIN Pro Regular"/>
          <w:sz w:val="21"/>
          <w:szCs w:val="21"/>
        </w:rPr>
        <w:t>Необходимо учитывать и соблюдать местные предписания по охране окру</w:t>
        <w:softHyphen/>
        <w:t>жающей среды. Опасные для вод вещества не должны попасть в водоемы, в почву, в канализацию.</w:t>
      </w:r>
    </w:p>
    <w:p>
      <w:pPr>
        <w:pStyle w:val="Normal"/>
        <w:rPr>
          <w:rStyle w:val="FontStyle74"/>
          <w:rFonts w:ascii="DIN Pro Regular" w:hAnsi="DIN Pro Regular" w:cs="DIN Pro Regular"/>
          <w:sz w:val="21"/>
          <w:szCs w:val="21"/>
        </w:rPr>
      </w:pPr>
      <w:r>
        <w:rPr>
          <w:rStyle w:val="FontStyle74"/>
          <w:rFonts w:cs="DIN Pro Regular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 Утилизация должна производиться в соответствии с местными действующими нормами утилизации.</w:t>
      </w:r>
    </w:p>
    <w:p>
      <w:pPr>
        <w:pStyle w:val="Normal"/>
        <w:rPr>
          <w:rFonts w:cs="DIN Pro Regular"/>
          <w:sz w:val="21"/>
          <w:szCs w:val="21"/>
        </w:rPr>
      </w:pPr>
      <w:r>
        <w:rPr>
          <w:rStyle w:val="FontStyle74"/>
          <w:rFonts w:cs="DIN Pro Regular"/>
          <w:sz w:val="21"/>
          <w:szCs w:val="21"/>
        </w:rPr>
        <w:t>При подготовке и отправке шкафа на утилизацию необходимо разобрать и рассортировать составные части шкафа по материалам, из которых они изготовлены.</w:t>
      </w:r>
      <w:r>
        <w:rPr>
          <w:rFonts w:eastAsia="MS Mincho" w:cs="DIN Pro Regular"/>
          <w:b/>
          <w:sz w:val="21"/>
          <w:szCs w:val="21"/>
        </w:rPr>
        <w:t xml:space="preserve"> </w:t>
      </w:r>
    </w:p>
    <w:p>
      <w:pPr>
        <w:pStyle w:val="1"/>
        <w:rPr>
          <w:sz w:val="21"/>
          <w:szCs w:val="21"/>
        </w:rPr>
      </w:pPr>
      <w:bookmarkStart w:id="14" w:name="_Toc37354947"/>
      <w:r>
        <w:rPr/>
        <w:t>4. ТЕХНИЧЕСКОЕ ОБСЛУЖИВАНИЕ</w:t>
      </w:r>
      <w:bookmarkEnd w:id="14"/>
    </w:p>
    <w:p>
      <w:pPr>
        <w:pStyle w:val="Style30"/>
        <w:rPr>
          <w:rFonts w:eastAsia="MS Mincho"/>
        </w:rPr>
      </w:pPr>
      <w:bookmarkStart w:id="15" w:name="_Toc37354948"/>
      <w:r>
        <w:rPr>
          <w:rFonts w:eastAsia="MS Mincho"/>
        </w:rPr>
        <w:t>4.1. ОБЩИЕ УКАЗАНИЯ</w:t>
      </w:r>
      <w:bookmarkEnd w:id="15"/>
    </w:p>
    <w:p>
      <w:pPr>
        <w:pStyle w:val="Normal"/>
        <w:rPr>
          <w:rFonts w:eastAsia="MS Mincho"/>
        </w:rPr>
      </w:pPr>
      <w:r>
        <w:rPr>
          <w:rFonts w:eastAsia="MS Mincho"/>
        </w:rPr>
        <w:t>Для оборудования установлены два вида обслуживания: ежедневное в процессе эксплуатации и периодическое техническое обслуживание, которое выполняется специализированной организацией, уполномоченной поставщиком (продавцом) оборудования.</w:t>
      </w:r>
    </w:p>
    <w:p>
      <w:pPr>
        <w:pStyle w:val="Normal"/>
        <w:rPr/>
      </w:pPr>
      <w:r>
        <w:rPr/>
        <w:t>Ежедневное обслуживание оборудования включает в себя контроль:</w:t>
      </w:r>
    </w:p>
    <w:p>
      <w:pPr>
        <w:pStyle w:val="ListParagraph"/>
        <w:numPr>
          <w:ilvl w:val="0"/>
          <w:numId w:val="9"/>
        </w:numPr>
        <w:rPr/>
      </w:pPr>
      <w:r>
        <w:rPr/>
        <w:t>температуры во внутреннем объеме;</w:t>
      </w:r>
    </w:p>
    <w:p>
      <w:pPr>
        <w:pStyle w:val="ListParagraph"/>
        <w:numPr>
          <w:ilvl w:val="0"/>
          <w:numId w:val="9"/>
        </w:numPr>
        <w:rPr/>
      </w:pPr>
      <w:r>
        <w:rPr/>
        <w:t>правильной загрузки продуктами (см. раздел 3.4.);</w:t>
      </w:r>
    </w:p>
    <w:p>
      <w:pPr>
        <w:pStyle w:val="ListParagraph"/>
        <w:numPr>
          <w:ilvl w:val="0"/>
          <w:numId w:val="9"/>
        </w:numPr>
        <w:rPr/>
      </w:pPr>
      <w:r>
        <w:rPr/>
        <w:t>автоматического закрывания двери;</w:t>
      </w:r>
    </w:p>
    <w:p>
      <w:pPr>
        <w:pStyle w:val="ListParagraph"/>
        <w:numPr>
          <w:ilvl w:val="0"/>
          <w:numId w:val="9"/>
        </w:numPr>
        <w:rPr/>
      </w:pPr>
      <w:r>
        <w:rPr/>
        <w:t>плотности прилегания магнитного уплотнителя двери;</w:t>
      </w:r>
    </w:p>
    <w:p>
      <w:pPr>
        <w:pStyle w:val="ListParagraph"/>
        <w:numPr>
          <w:ilvl w:val="0"/>
          <w:numId w:val="9"/>
        </w:numPr>
        <w:rPr/>
      </w:pPr>
      <w:r>
        <w:rPr/>
        <w:t>системы слива конденсата (отсутствие воды внутри шкафа).</w:t>
      </w:r>
    </w:p>
    <w:p>
      <w:pPr>
        <w:pStyle w:val="Normal"/>
        <w:rPr/>
      </w:pPr>
      <w:r>
        <w:rPr/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 (в частности хлорсодержащие и кислотосодержащие вещества и щелочные растворы).</w:t>
      </w:r>
    </w:p>
    <w:p>
      <w:pPr>
        <w:pStyle w:val="Normal"/>
        <w:rPr>
          <w:rFonts w:eastAsia="MS Mincho"/>
          <w:b/>
          <w:b/>
        </w:rPr>
      </w:pPr>
      <w:r>
        <w:rPr>
          <w:rStyle w:val="Strong"/>
          <w:rFonts w:eastAsia="MS Mincho"/>
        </w:rPr>
        <w:t>ВНИМАНИЕ!</w:t>
      </w:r>
      <w:r>
        <w:rPr>
          <w:rStyle w:val="Strong"/>
          <w:rFonts w:eastAsia="MS Mincho"/>
          <w:b w:val="false"/>
        </w:rPr>
        <w:t xml:space="preserve"> </w:t>
      </w:r>
      <w:r>
        <w:rPr>
          <w:rFonts w:eastAsia="MS Mincho"/>
          <w:b/>
        </w:rPr>
        <w:t>ПЕРЕД САНИТАРНОЙ ОБРАБОТКОЙ ШКАФ ОТКЛЮЧИТЬ ОТ ЭЛЕКТРОСЕТИ И УДАЛИТЬ ПРОДУКТЫ ИЗ ВНУТРЕННЕГО ОБЪЕМА</w:t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>
      <w:pPr>
        <w:pStyle w:val="Normal"/>
        <w:rPr>
          <w:rFonts w:eastAsia="MS Mincho"/>
          <w:sz w:val="21"/>
          <w:szCs w:val="21"/>
        </w:rPr>
      </w:pPr>
      <w:r>
        <w:rPr>
          <w:rFonts w:eastAsia="MS Mincho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>
      <w:pPr>
        <w:pStyle w:val="Normal"/>
        <w:rPr>
          <w:rFonts w:eastAsia="MS Mincho"/>
          <w:sz w:val="21"/>
          <w:szCs w:val="21"/>
        </w:rPr>
      </w:pPr>
      <w:r>
        <w:rPr>
          <w:rFonts w:eastAsia="MS Mincho"/>
          <w:sz w:val="21"/>
          <w:szCs w:val="21"/>
        </w:rPr>
        <w:t>Перечень работ по периодическому техническому обслуживанию:</w:t>
      </w:r>
    </w:p>
    <w:p>
      <w:pPr>
        <w:pStyle w:val="ListParagraph"/>
        <w:numPr>
          <w:ilvl w:val="0"/>
          <w:numId w:val="10"/>
        </w:numPr>
        <w:spacing w:before="0" w:after="0"/>
        <w:ind w:left="714" w:hanging="357"/>
        <w:rPr>
          <w:rFonts w:eastAsia="MS Mincho"/>
          <w:szCs w:val="20"/>
        </w:rPr>
      </w:pPr>
      <w:r>
        <w:rPr>
          <w:rFonts w:eastAsia="MS Mincho"/>
          <w:szCs w:val="20"/>
        </w:rPr>
        <w:t>проверка правильности размещения и установки шкафа;</w:t>
      </w:r>
    </w:p>
    <w:p>
      <w:pPr>
        <w:pStyle w:val="ListParagraph"/>
        <w:numPr>
          <w:ilvl w:val="0"/>
          <w:numId w:val="10"/>
        </w:numPr>
        <w:spacing w:before="0" w:after="0"/>
        <w:ind w:left="714" w:hanging="357"/>
        <w:rPr>
          <w:rFonts w:eastAsia="MS Mincho"/>
          <w:szCs w:val="20"/>
        </w:rPr>
      </w:pPr>
      <w:r>
        <w:rPr>
          <w:rFonts w:eastAsia="MS Mincho"/>
          <w:szCs w:val="20"/>
        </w:rPr>
        <w:t>очистка узлов от загрязнений, чистка конденсатора (при необходимости);</w:t>
      </w:r>
    </w:p>
    <w:p>
      <w:pPr>
        <w:pStyle w:val="ListParagraph"/>
        <w:numPr>
          <w:ilvl w:val="0"/>
          <w:numId w:val="10"/>
        </w:numPr>
        <w:spacing w:before="0" w:after="0"/>
        <w:ind w:left="714" w:hanging="357"/>
        <w:rPr>
          <w:rFonts w:eastAsia="MS Mincho"/>
          <w:szCs w:val="20"/>
        </w:rPr>
      </w:pPr>
      <w:r>
        <w:rPr>
          <w:rFonts w:eastAsia="MS Mincho"/>
          <w:szCs w:val="20"/>
        </w:rPr>
        <w:t>проверка самозакрывающегося механизма двери;</w:t>
      </w:r>
    </w:p>
    <w:p>
      <w:pPr>
        <w:pStyle w:val="ListParagraph"/>
        <w:numPr>
          <w:ilvl w:val="0"/>
          <w:numId w:val="10"/>
        </w:numPr>
        <w:spacing w:before="0" w:after="0"/>
        <w:ind w:left="714" w:hanging="357"/>
        <w:rPr>
          <w:rFonts w:eastAsia="MS Mincho"/>
          <w:szCs w:val="20"/>
        </w:rPr>
      </w:pPr>
      <w:r>
        <w:rPr>
          <w:rFonts w:eastAsia="MS Mincho"/>
          <w:szCs w:val="20"/>
        </w:rPr>
        <w:t>проверка надежности крепления деталей и узлов, подтяжка всех крепежных элементов;</w:t>
      </w:r>
    </w:p>
    <w:p>
      <w:pPr>
        <w:pStyle w:val="ListParagraph"/>
        <w:numPr>
          <w:ilvl w:val="0"/>
          <w:numId w:val="10"/>
        </w:numPr>
        <w:spacing w:before="0" w:after="0"/>
        <w:ind w:left="714" w:hanging="357"/>
        <w:rPr>
          <w:rFonts w:eastAsia="MS Mincho"/>
          <w:szCs w:val="20"/>
        </w:rPr>
      </w:pPr>
      <w:r>
        <w:rPr>
          <w:rFonts w:eastAsia="MS Mincho"/>
          <w:szCs w:val="20"/>
        </w:rPr>
        <w:t>проверка герметичности паяных соединений трубопроводов;</w:t>
      </w:r>
    </w:p>
    <w:p>
      <w:pPr>
        <w:pStyle w:val="ListParagraph"/>
        <w:numPr>
          <w:ilvl w:val="0"/>
          <w:numId w:val="10"/>
        </w:numPr>
        <w:spacing w:before="0" w:after="0"/>
        <w:ind w:left="714" w:hanging="357"/>
        <w:rPr>
          <w:rFonts w:eastAsia="MS Mincho"/>
          <w:szCs w:val="20"/>
        </w:rPr>
      </w:pPr>
      <w:r>
        <w:rPr>
          <w:rFonts w:eastAsia="MS Mincho"/>
          <w:szCs w:val="20"/>
        </w:rPr>
        <w:t>проверка надежности электрических соединений, подтяжка контактов на винтовых соединениях;</w:t>
      </w:r>
    </w:p>
    <w:p>
      <w:pPr>
        <w:pStyle w:val="ListParagraph"/>
        <w:numPr>
          <w:ilvl w:val="0"/>
          <w:numId w:val="10"/>
        </w:numPr>
        <w:spacing w:before="0" w:after="0"/>
        <w:ind w:left="714" w:hanging="357"/>
        <w:rPr>
          <w:rFonts w:eastAsia="MS Mincho"/>
          <w:szCs w:val="20"/>
        </w:rPr>
      </w:pPr>
      <w:r>
        <w:rPr>
          <w:rFonts w:eastAsia="MS Mincho"/>
          <w:szCs w:val="20"/>
        </w:rPr>
        <w:t>проверка напряжения питающей сети, наличие и состояние заземления, целостности изоляции проводов и кабеля питания;</w:t>
      </w:r>
    </w:p>
    <w:p>
      <w:pPr>
        <w:pStyle w:val="ListParagraph"/>
        <w:numPr>
          <w:ilvl w:val="0"/>
          <w:numId w:val="10"/>
        </w:numPr>
        <w:spacing w:before="0" w:after="0"/>
        <w:ind w:left="714" w:hanging="357"/>
        <w:rPr>
          <w:rFonts w:eastAsia="MS Mincho"/>
          <w:szCs w:val="20"/>
        </w:rPr>
      </w:pPr>
      <w:r>
        <w:rPr>
          <w:rFonts w:eastAsia="MS Mincho"/>
          <w:szCs w:val="20"/>
        </w:rPr>
        <w:t>проверка охлаждения внутреннего объема;</w:t>
      </w:r>
    </w:p>
    <w:p>
      <w:pPr>
        <w:pStyle w:val="ListParagraph"/>
        <w:numPr>
          <w:ilvl w:val="0"/>
          <w:numId w:val="10"/>
        </w:numPr>
        <w:spacing w:before="0" w:after="0"/>
        <w:ind w:left="714" w:hanging="357"/>
        <w:rPr>
          <w:rFonts w:eastAsia="MS Mincho"/>
          <w:szCs w:val="20"/>
        </w:rPr>
      </w:pPr>
      <w:r>
        <w:rPr>
          <w:rFonts w:eastAsia="MS Mincho"/>
          <w:szCs w:val="20"/>
        </w:rPr>
        <w:t>проверка цикличной работы холодильной системы, вращения вентилятора конденсатора, отсутствия снеговой «шубы» на ребрах испарителя;</w:t>
      </w:r>
    </w:p>
    <w:p>
      <w:pPr>
        <w:pStyle w:val="ListParagraph"/>
        <w:numPr>
          <w:ilvl w:val="0"/>
          <w:numId w:val="10"/>
        </w:numPr>
        <w:spacing w:before="0" w:after="0"/>
        <w:ind w:left="714" w:hanging="357"/>
        <w:rPr>
          <w:rFonts w:eastAsia="MS Mincho"/>
          <w:szCs w:val="20"/>
        </w:rPr>
      </w:pPr>
      <w:r>
        <w:rPr>
          <w:rFonts w:eastAsia="MS Mincho"/>
          <w:szCs w:val="20"/>
        </w:rPr>
        <w:t>проверка работы микропереключателя двери: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>
      <w:pPr>
        <w:pStyle w:val="ListParagraph"/>
        <w:numPr>
          <w:ilvl w:val="0"/>
          <w:numId w:val="10"/>
        </w:numPr>
        <w:spacing w:before="0" w:after="0"/>
        <w:ind w:left="714" w:hanging="357"/>
        <w:rPr>
          <w:rFonts w:eastAsia="MS Mincho"/>
          <w:szCs w:val="20"/>
        </w:rPr>
      </w:pPr>
      <w:r>
        <w:rPr>
          <w:rFonts w:eastAsia="MS Mincho"/>
          <w:szCs w:val="20"/>
        </w:rPr>
        <w:t>проверка программы контроллера и перенастройка параметров (при необходимости).</w:t>
      </w:r>
    </w:p>
    <w:p>
      <w:pPr>
        <w:pStyle w:val="Normal"/>
        <w:rPr>
          <w:rFonts w:eastAsia="MS Mincho"/>
          <w:b/>
          <w:b/>
          <w:szCs w:val="20"/>
        </w:rPr>
      </w:pPr>
      <w:r>
        <w:rPr>
          <w:rFonts w:eastAsia="MS Mincho"/>
          <w:b/>
          <w:szCs w:val="20"/>
        </w:rPr>
        <w:t>ПРИ НЕВЫПОЛНЕНИИ РЕГЛАМЕНТИРОВАННОГО ТЕХНИЧЕСКОГО ОБСЛУЖИВАНИЯ ГАРАНТИЙНЫЕ ОБЯЗАТЕЛЬСТВА НЕ ПРЕДОСТАВЛЯЮТСЯ!</w:t>
      </w:r>
    </w:p>
    <w:p>
      <w:pPr>
        <w:pStyle w:val="Normal"/>
        <w:rPr>
          <w:rFonts w:eastAsia="MS Mincho"/>
          <w:szCs w:val="20"/>
        </w:rPr>
      </w:pPr>
      <w:r>
        <w:rPr>
          <w:rFonts w:eastAsia="MS Mincho"/>
          <w:szCs w:val="20"/>
        </w:rPr>
        <w:tab/>
        <w:t>По вопросам, возникающим в ходе пуска, эксплуатации и технического обслуживания изделий, обращаться в уполномоченные организации (к Поставщику или Продавцу) и их сервисные центры.</w:t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/>
        <w:drawing>
          <wp:inline distT="0" distB="7620" distL="0" distR="0">
            <wp:extent cx="6650990" cy="4602480"/>
            <wp:effectExtent l="0" t="0" r="0" b="0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/>
        <w:drawing>
          <wp:inline distT="0" distB="0" distL="0" distR="0">
            <wp:extent cx="6650990" cy="461010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/>
        <w:drawing>
          <wp:inline distT="0" distB="3810" distL="0" distR="0">
            <wp:extent cx="6466205" cy="4587240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/>
        <w:drawing>
          <wp:inline distT="0" distB="3810" distL="0" distR="0">
            <wp:extent cx="6464935" cy="4587240"/>
            <wp:effectExtent l="0" t="0" r="0" b="0"/>
            <wp:docPr id="6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PlainTex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/>
        <w:drawing>
          <wp:inline distT="0" distB="0" distL="0" distR="0">
            <wp:extent cx="6671945" cy="4000500"/>
            <wp:effectExtent l="0" t="0" r="0" b="0"/>
            <wp:docPr id="7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/>
        <w:drawing>
          <wp:inline distT="0" distB="0" distL="0" distR="0">
            <wp:extent cx="6652895" cy="4457700"/>
            <wp:effectExtent l="0" t="0" r="0" b="0"/>
            <wp:docPr id="8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Normal"/>
        <w:spacing w:before="0" w:after="0"/>
        <w:jc w:val="left"/>
        <w:rPr>
          <w:rFonts w:eastAsia="MS Mincho" w:cs="DIN Pro Regular"/>
          <w:sz w:val="23"/>
          <w:szCs w:val="23"/>
        </w:rPr>
      </w:pPr>
      <w:r>
        <w:rPr>
          <w:rFonts w:eastAsia="MS Mincho" w:cs="DIN Pro Regular"/>
          <w:sz w:val="23"/>
          <w:szCs w:val="23"/>
        </w:rPr>
      </w:r>
    </w:p>
    <w:p>
      <w:pPr>
        <w:pStyle w:val="PlainText"/>
        <w:spacing w:before="0" w:after="0"/>
        <w:jc w:val="righ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  <w:t>Приложение А.</w:t>
      </w:r>
    </w:p>
    <w:p>
      <w:pPr>
        <w:pStyle w:val="PlainText"/>
        <w:spacing w:before="0" w:after="0"/>
        <w:ind w:left="8789" w:hanging="0"/>
        <w:jc w:val="center"/>
        <w:rPr>
          <w:rFonts w:ascii="DIN Pro Regular" w:hAnsi="DIN Pro Regular" w:eastAsia="Trebuchet MS" w:cs="DIN Pro Regular"/>
          <w:sz w:val="23"/>
          <w:szCs w:val="23"/>
        </w:rPr>
      </w:pPr>
      <w:r>
        <w:rPr>
          <w:rFonts w:eastAsia="Trebuchet MS" w:cs="DIN Pro Regular" w:ascii="DIN Pro Regular" w:hAnsi="DIN Pro Regular"/>
          <w:sz w:val="23"/>
          <w:szCs w:val="23"/>
        </w:rPr>
        <w:t>(образец)</w:t>
      </w:r>
    </w:p>
    <w:p>
      <w:pPr>
        <w:pStyle w:val="Style30"/>
        <w:rPr>
          <w:rFonts w:eastAsia="Trebuchet MS"/>
        </w:rPr>
      </w:pPr>
      <w:bookmarkStart w:id="16" w:name="_Toc37354949"/>
      <w:r>
        <w:rPr>
          <w:rFonts w:eastAsia="Trebuchet MS"/>
        </w:rPr>
        <w:t>АКТ ПУСКА В ЭКСПЛУАТАЦИЮ</w:t>
      </w:r>
      <w:bookmarkEnd w:id="16"/>
    </w:p>
    <w:tbl>
      <w:tblPr>
        <w:tblStyle w:val="ab"/>
        <w:tblW w:w="10704" w:type="dxa"/>
        <w:jc w:val="left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0"/>
        <w:gridCol w:w="1134"/>
        <w:gridCol w:w="142"/>
        <w:gridCol w:w="425"/>
        <w:gridCol w:w="708"/>
        <w:gridCol w:w="1135"/>
        <w:gridCol w:w="850"/>
        <w:gridCol w:w="851"/>
        <w:gridCol w:w="850"/>
        <w:gridCol w:w="850"/>
        <w:gridCol w:w="1"/>
        <w:gridCol w:w="141"/>
        <w:gridCol w:w="1226"/>
        <w:gridCol w:w="1"/>
        <w:gridCol w:w="396"/>
        <w:gridCol w:w="1744"/>
      </w:tblGrid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54" w:type="dxa"/>
            <w:gridSpan w:val="15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Настоящий акт составлен «____» _________________ 202____ года владельцем холодильного оборудования</w:t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54" w:type="dxa"/>
            <w:gridSpan w:val="15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</w:r>
          </w:p>
        </w:tc>
        <w:tc>
          <w:tcPr>
            <w:tcW w:w="10454" w:type="dxa"/>
            <w:gridSpan w:val="15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(наименование и адрес организации, должность, фамилия, имя, отчество)</w:t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6095" w:type="dxa"/>
            <w:gridSpan w:val="8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и представителем фирменного центра по техническому сервису</w:t>
            </w:r>
          </w:p>
        </w:tc>
        <w:tc>
          <w:tcPr>
            <w:tcW w:w="4359" w:type="dxa"/>
            <w:gridSpan w:val="7"/>
            <w:tcBorders>
              <w:top w:val="nil"/>
              <w:left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54" w:type="dxa"/>
            <w:gridSpan w:val="15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>
          <w:trHeight w:val="207" w:hRule="atLeast"/>
        </w:trPr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10454" w:type="dxa"/>
            <w:gridSpan w:val="15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(наименование, должность, фамилия, имя, отчество)</w:t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54" w:type="dxa"/>
            <w:gridSpan w:val="15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544" w:type="dxa"/>
            <w:gridSpan w:val="5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 том, что шкаф холодильный марки</w:t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842" w:type="dxa"/>
            <w:gridSpan w:val="4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заводской номер</w:t>
            </w:r>
          </w:p>
        </w:tc>
        <w:tc>
          <w:tcPr>
            <w:tcW w:w="3367" w:type="dxa"/>
            <w:gridSpan w:val="4"/>
            <w:tcBorders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с компрессором</w:t>
            </w:r>
          </w:p>
        </w:tc>
        <w:tc>
          <w:tcPr>
            <w:tcW w:w="8753" w:type="dxa"/>
            <w:gridSpan w:val="12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изготовленный</w:t>
            </w:r>
          </w:p>
        </w:tc>
        <w:tc>
          <w:tcPr>
            <w:tcW w:w="5904" w:type="dxa"/>
            <w:gridSpan w:val="8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_________________ 202____ года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пущен в эксплуатацию 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_________________ 202____ года</w:t>
            </w:r>
          </w:p>
        </w:tc>
        <w:tc>
          <w:tcPr>
            <w:tcW w:w="3509" w:type="dxa"/>
            <w:gridSpan w:val="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электромехаником</w:t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54" w:type="dxa"/>
            <w:gridSpan w:val="15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10454" w:type="dxa"/>
            <w:gridSpan w:val="15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(наименование, должность, фамилия, имя, отчество)</w:t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54" w:type="dxa"/>
            <w:gridSpan w:val="15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8710" w:type="dxa"/>
            <w:gridSpan w:val="14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удостоверение на право монтажа и обслуживания торгового холодильного оборудования №</w:t>
            </w:r>
          </w:p>
        </w:tc>
        <w:tc>
          <w:tcPr>
            <w:tcW w:w="1744" w:type="dxa"/>
            <w:tcBorders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выдано</w:t>
            </w:r>
          </w:p>
        </w:tc>
        <w:tc>
          <w:tcPr>
            <w:tcW w:w="5811" w:type="dxa"/>
            <w:gridSpan w:val="8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_________________ 202____ года</w:t>
            </w:r>
          </w:p>
        </w:tc>
        <w:tc>
          <w:tcPr>
            <w:tcW w:w="1368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54" w:type="dxa"/>
            <w:gridSpan w:val="15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54" w:type="dxa"/>
            <w:gridSpan w:val="15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  <w:sz w:val="10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 организации)</w:t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6946" w:type="dxa"/>
            <w:gridSpan w:val="10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Холодильный шкаф принят на обслуживание представителем заказчика:</w:t>
            </w:r>
          </w:p>
        </w:tc>
        <w:tc>
          <w:tcPr>
            <w:tcW w:w="1368" w:type="dxa"/>
            <w:gridSpan w:val="3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4394" w:type="dxa"/>
            <w:gridSpan w:val="6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552" w:type="dxa"/>
            <w:gridSpan w:val="4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368" w:type="dxa"/>
            <w:gridSpan w:val="3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10454" w:type="dxa"/>
            <w:gridSpan w:val="15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  <w:sz w:val="10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(наименование, должность, фамилия, имя, отчество)</w:t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8710" w:type="dxa"/>
            <w:gridSpan w:val="14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удостоверение на право монтажа и обслуживания торгового холодильного оборудования №</w:t>
            </w:r>
          </w:p>
        </w:tc>
        <w:tc>
          <w:tcPr>
            <w:tcW w:w="1744" w:type="dxa"/>
            <w:tcBorders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выдано</w:t>
            </w:r>
          </w:p>
        </w:tc>
        <w:tc>
          <w:tcPr>
            <w:tcW w:w="5811" w:type="dxa"/>
            <w:gridSpan w:val="8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    </w:t>
            </w:r>
            <w:r>
              <w:rPr>
                <w:rFonts w:eastAsia="Trebuchet MS"/>
              </w:rPr>
              <w:t>«____» _________________ 202____ года</w:t>
            </w:r>
          </w:p>
        </w:tc>
        <w:tc>
          <w:tcPr>
            <w:tcW w:w="1368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54" w:type="dxa"/>
            <w:gridSpan w:val="15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54" w:type="dxa"/>
            <w:gridSpan w:val="15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  <w:sz w:val="10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 организации)</w:t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Владелец оборудования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219" w:type="dxa"/>
            <w:gridSpan w:val="5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Представитель сервисного центра</w:t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219" w:type="dxa"/>
            <w:gridSpan w:val="5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140" w:type="dxa"/>
            <w:gridSpan w:val="2"/>
            <w:tcBorders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0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</w:rPr>
            </w:pPr>
            <w:r>
              <w:rPr>
                <w:rFonts w:eastAsia="Trebuchet MS"/>
              </w:rPr>
              <w:t>М.П.</w:t>
            </w:r>
          </w:p>
        </w:tc>
        <w:tc>
          <w:tcPr>
            <w:tcW w:w="9178" w:type="dxa"/>
            <w:gridSpan w:val="1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</w:tbl>
    <w:p>
      <w:pPr>
        <w:pStyle w:val="Normal"/>
        <w:spacing w:before="0" w:after="0"/>
        <w:rPr>
          <w:rFonts w:eastAsia="Trebuchet MS"/>
        </w:rPr>
      </w:pPr>
      <w:r>
        <w:rPr>
          <w:rFonts w:eastAsia="Trebuchet MS"/>
        </w:rPr>
        <w:tab/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  <w:r>
        <w:br w:type="page"/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PlainText"/>
        <w:spacing w:before="0" w:after="0"/>
        <w:jc w:val="right"/>
        <w:rPr>
          <w:rFonts w:ascii="DIN Pro Regular" w:hAnsi="DIN Pro Regular" w:eastAsia="MS Mincho" w:cs="DIN Pro Regular"/>
          <w:sz w:val="23"/>
          <w:szCs w:val="23"/>
        </w:rPr>
      </w:pPr>
      <w:r>
        <w:rPr>
          <w:rFonts w:eastAsia="MS Mincho" w:cs="DIN Pro Regular" w:ascii="DIN Pro Regular" w:hAnsi="DIN Pro Regular"/>
          <w:sz w:val="23"/>
          <w:szCs w:val="23"/>
        </w:rPr>
        <w:t>Приложение Б.</w:t>
      </w:r>
    </w:p>
    <w:p>
      <w:pPr>
        <w:pStyle w:val="PlainText"/>
        <w:spacing w:before="0" w:after="0"/>
        <w:ind w:left="8789" w:hanging="0"/>
        <w:jc w:val="center"/>
        <w:rPr>
          <w:rFonts w:ascii="DIN Pro Regular" w:hAnsi="DIN Pro Regular" w:eastAsia="Trebuchet MS" w:cs="DIN Pro Regular"/>
          <w:sz w:val="23"/>
          <w:szCs w:val="23"/>
        </w:rPr>
      </w:pPr>
      <w:r>
        <w:rPr>
          <w:rFonts w:eastAsia="Trebuchet MS" w:cs="DIN Pro Regular" w:ascii="DIN Pro Regular" w:hAnsi="DIN Pro Regular"/>
          <w:sz w:val="23"/>
          <w:szCs w:val="23"/>
        </w:rPr>
        <w:t>(образец)</w:t>
      </w:r>
    </w:p>
    <w:p>
      <w:pPr>
        <w:pStyle w:val="Style30"/>
        <w:spacing w:before="0" w:after="200"/>
        <w:rPr>
          <w:rFonts w:eastAsia="Trebuchet MS"/>
        </w:rPr>
      </w:pPr>
      <w:bookmarkStart w:id="17" w:name="_Toc37354950"/>
      <w:r>
        <w:rPr>
          <w:rFonts w:eastAsia="Trebuchet MS"/>
        </w:rPr>
        <w:t>АКТ ТЕХНИЧЕСКОГО СОСТОЯНИЯ</w:t>
      </w:r>
      <w:bookmarkEnd w:id="17"/>
    </w:p>
    <w:p>
      <w:pPr>
        <w:pStyle w:val="Normal"/>
        <w:spacing w:before="0" w:after="0"/>
        <w:rPr>
          <w:rFonts w:eastAsia="Trebuchet MS"/>
        </w:rPr>
      </w:pPr>
      <w:r>
        <w:rPr>
          <w:rFonts w:eastAsia="Trebuchet MS"/>
        </w:rPr>
      </w:r>
    </w:p>
    <w:tbl>
      <w:tblPr>
        <w:tblStyle w:val="ab"/>
        <w:tblW w:w="10705" w:type="dxa"/>
        <w:jc w:val="left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5"/>
        <w:gridCol w:w="2409"/>
        <w:gridCol w:w="284"/>
        <w:gridCol w:w="141"/>
        <w:gridCol w:w="279"/>
        <w:gridCol w:w="141"/>
        <w:gridCol w:w="284"/>
        <w:gridCol w:w="146"/>
        <w:gridCol w:w="651"/>
        <w:gridCol w:w="337"/>
        <w:gridCol w:w="425"/>
        <w:gridCol w:w="287"/>
        <w:gridCol w:w="478"/>
        <w:gridCol w:w="1"/>
        <w:gridCol w:w="651"/>
        <w:gridCol w:w="1"/>
        <w:gridCol w:w="707"/>
        <w:gridCol w:w="1"/>
        <w:gridCol w:w="851"/>
        <w:gridCol w:w="2375"/>
      </w:tblGrid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Город и место приемки</w:t>
            </w:r>
          </w:p>
        </w:tc>
        <w:tc>
          <w:tcPr>
            <w:tcW w:w="3453" w:type="dxa"/>
            <w:gridSpan w:val="11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4587" w:type="dxa"/>
            <w:gridSpan w:val="7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_________________ 202____ года</w:t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5384" w:type="dxa"/>
            <w:gridSpan w:val="11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Наименование получателя (организация, предприятие) </w:t>
            </w:r>
          </w:p>
        </w:tc>
        <w:tc>
          <w:tcPr>
            <w:tcW w:w="5065" w:type="dxa"/>
            <w:gridSpan w:val="8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49" w:type="dxa"/>
            <w:gridSpan w:val="19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684" w:type="dxa"/>
            <w:gridSpan w:val="7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Его адрес и отгрузочные реквизиты:</w:t>
            </w:r>
          </w:p>
        </w:tc>
        <w:tc>
          <w:tcPr>
            <w:tcW w:w="6765" w:type="dxa"/>
            <w:gridSpan w:val="12"/>
            <w:tcBorders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>
          <w:trHeight w:val="124" w:hRule="atLeast"/>
        </w:trPr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Arial" w:hAnsi="Arial" w:eastAsia="Trebuchet MS" w:cs="Arial"/>
                <w:sz w:val="10"/>
                <w:szCs w:val="10"/>
              </w:rPr>
            </w:pPr>
            <w:r>
              <w:rPr>
                <w:rFonts w:eastAsia="Trebuchet MS" w:cs="Arial" w:ascii="Arial" w:hAnsi="Arial"/>
                <w:sz w:val="10"/>
                <w:szCs w:val="10"/>
              </w:rPr>
            </w: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Arial" w:hAnsi="Arial" w:eastAsia="Trebuchet MS" w:cs="Arial"/>
                <w:sz w:val="10"/>
                <w:szCs w:val="10"/>
              </w:rPr>
            </w:pPr>
            <w:r>
              <w:rPr>
                <w:rFonts w:eastAsia="Trebuchet MS" w:cs="Arial" w:ascii="Arial" w:hAnsi="Arial"/>
                <w:sz w:val="10"/>
                <w:szCs w:val="10"/>
              </w:rPr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Arial" w:hAnsi="Arial" w:eastAsia="Trebuchet MS" w:cs="Arial"/>
                <w:sz w:val="10"/>
                <w:szCs w:val="10"/>
              </w:rPr>
            </w:pPr>
            <w:r>
              <w:rPr>
                <w:rFonts w:eastAsia="Trebuchet MS" w:cs="Arial" w:ascii="Arial" w:hAnsi="Arial"/>
                <w:sz w:val="10"/>
                <w:szCs w:val="10"/>
              </w:rPr>
            </w:r>
          </w:p>
        </w:tc>
        <w:tc>
          <w:tcPr>
            <w:tcW w:w="1527" w:type="dxa"/>
            <w:gridSpan w:val="4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Arial" w:hAnsi="Arial" w:eastAsia="Trebuchet MS" w:cs="Arial"/>
                <w:sz w:val="10"/>
                <w:szCs w:val="10"/>
              </w:rPr>
            </w:pPr>
            <w:r>
              <w:rPr>
                <w:rFonts w:eastAsia="Trebuchet MS" w:cs="Arial" w:ascii="Arial" w:hAnsi="Arial"/>
                <w:sz w:val="10"/>
                <w:szCs w:val="10"/>
              </w:rPr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Arial" w:hAnsi="Arial" w:eastAsia="Trebuchet MS" w:cs="Arial"/>
                <w:sz w:val="10"/>
                <w:szCs w:val="10"/>
              </w:rPr>
            </w:pPr>
            <w:r>
              <w:rPr>
                <w:rFonts w:eastAsia="Trebuchet MS" w:cs="Arial" w:ascii="Arial" w:hAnsi="Arial"/>
                <w:sz w:val="10"/>
                <w:szCs w:val="10"/>
              </w:rPr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Arial" w:hAnsi="Arial" w:eastAsia="Trebuchet MS" w:cs="Arial"/>
                <w:sz w:val="10"/>
                <w:szCs w:val="10"/>
              </w:rPr>
            </w:pPr>
            <w:r>
              <w:rPr>
                <w:rFonts w:eastAsia="Trebuchet MS" w:cs="Arial" w:ascii="Arial" w:hAnsi="Arial"/>
                <w:sz w:val="10"/>
                <w:szCs w:val="10"/>
              </w:rPr>
            </w:r>
          </w:p>
        </w:tc>
        <w:tc>
          <w:tcPr>
            <w:tcW w:w="3227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ascii="Arial" w:hAnsi="Arial" w:eastAsia="Trebuchet MS" w:cs="Arial"/>
                <w:sz w:val="10"/>
                <w:szCs w:val="10"/>
              </w:rPr>
            </w:pPr>
            <w:r>
              <w:rPr>
                <w:rFonts w:eastAsia="Trebuchet MS" w:cs="Arial" w:ascii="Arial" w:hAnsi="Arial"/>
                <w:sz w:val="10"/>
                <w:szCs w:val="10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Настоящий акт составлен </w:t>
            </w:r>
          </w:p>
        </w:tc>
        <w:tc>
          <w:tcPr>
            <w:tcW w:w="7756" w:type="dxa"/>
            <w:gridSpan w:val="17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7756" w:type="dxa"/>
            <w:gridSpan w:val="17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3098" w:leader="none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(представитель заказчика, должность, ФИО)</w:t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49" w:type="dxa"/>
            <w:gridSpan w:val="19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834" w:type="dxa"/>
            <w:gridSpan w:val="3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с участием представителей</w:t>
            </w:r>
          </w:p>
        </w:tc>
        <w:tc>
          <w:tcPr>
            <w:tcW w:w="7615" w:type="dxa"/>
            <w:gridSpan w:val="16"/>
            <w:tcBorders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2834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7615" w:type="dxa"/>
            <w:gridSpan w:val="1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(представитель заказчика, должность, ФИО)</w:t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49" w:type="dxa"/>
            <w:gridSpan w:val="19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10449" w:type="dxa"/>
            <w:gridSpan w:val="19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или представителя заинтересованной организации, дата и номер документа о полномочиях представителей на участие в проверке</w:t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6515" w:type="dxa"/>
            <w:gridSpan w:val="15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телеграмма на вызов представителя производителя направлена №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  <w:t>«____» ___________ 202__ года</w:t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в том, что при проверке изделия</w:t>
            </w:r>
          </w:p>
        </w:tc>
        <w:tc>
          <w:tcPr>
            <w:tcW w:w="7195" w:type="dxa"/>
            <w:gridSpan w:val="14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7195" w:type="dxa"/>
            <w:gridSpan w:val="14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(наименование изделия)</w:t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 xml:space="preserve">заводской номер изделия </w:t>
            </w:r>
          </w:p>
        </w:tc>
        <w:tc>
          <w:tcPr>
            <w:tcW w:w="4820" w:type="dxa"/>
            <w:gridSpan w:val="13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  <w:t>выявлено следующее</w:t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5097" w:type="dxa"/>
            <w:gridSpan w:val="10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1. Условия хранения изделия на складе получателя:</w:t>
            </w:r>
          </w:p>
        </w:tc>
        <w:tc>
          <w:tcPr>
            <w:tcW w:w="5352" w:type="dxa"/>
            <w:gridSpan w:val="9"/>
            <w:tcBorders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ab/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254" w:type="dxa"/>
            <w:gridSpan w:val="5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527" w:type="dxa"/>
            <w:gridSpan w:val="4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227" w:type="dxa"/>
            <w:gridSpan w:val="3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10449" w:type="dxa"/>
            <w:gridSpan w:val="19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(указать, в каких условиях хранятся изделия)</w:t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113" w:type="dxa"/>
            <w:gridSpan w:val="4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2. Состояние тары и упаковки</w:t>
            </w:r>
          </w:p>
        </w:tc>
        <w:tc>
          <w:tcPr>
            <w:tcW w:w="7336" w:type="dxa"/>
            <w:gridSpan w:val="15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49" w:type="dxa"/>
            <w:gridSpan w:val="19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10449" w:type="dxa"/>
            <w:gridSpan w:val="19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 состояние наружной маркировки, дату вскрытия тары, количество недостающих составных частей, их стоимость, недостатки тары и упаковки)</w:t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3. Изделие установлено</w:t>
            </w:r>
          </w:p>
        </w:tc>
        <w:tc>
          <w:tcPr>
            <w:tcW w:w="8040" w:type="dxa"/>
            <w:gridSpan w:val="18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8040" w:type="dxa"/>
            <w:gridSpan w:val="18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(указать, в каких условиях установлено изделие)</w:t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4. Монтаж изделия</w:t>
            </w:r>
          </w:p>
        </w:tc>
        <w:tc>
          <w:tcPr>
            <w:tcW w:w="8040" w:type="dxa"/>
            <w:gridSpan w:val="18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8040" w:type="dxa"/>
            <w:gridSpan w:val="18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(указать, кто и когда произвел монтаж изделия, качество монтажа)</w:t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4672" w:type="dxa"/>
            <w:gridSpan w:val="9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5. Состояние изделия и его комплекта поставки</w:t>
            </w:r>
          </w:p>
        </w:tc>
        <w:tc>
          <w:tcPr>
            <w:tcW w:w="5777" w:type="dxa"/>
            <w:gridSpan w:val="10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49" w:type="dxa"/>
            <w:gridSpan w:val="19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10449" w:type="dxa"/>
            <w:gridSpan w:val="19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center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  <w:t>(указать техническое состояние изделия, электрооборудования, состояние их защиты, и др., заводские номера, дату изготовления)</w:t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538" w:type="dxa"/>
            <w:gridSpan w:val="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6. Перечень отклонений (дефектов):</w:t>
            </w:r>
          </w:p>
        </w:tc>
        <w:tc>
          <w:tcPr>
            <w:tcW w:w="6911" w:type="dxa"/>
            <w:gridSpan w:val="1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49" w:type="dxa"/>
            <w:gridSpan w:val="19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4335" w:type="dxa"/>
            <w:gridSpan w:val="8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7. Для восстановления изделия необходимо:</w:t>
            </w:r>
          </w:p>
        </w:tc>
        <w:tc>
          <w:tcPr>
            <w:tcW w:w="6114" w:type="dxa"/>
            <w:gridSpan w:val="11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0449" w:type="dxa"/>
            <w:gridSpan w:val="19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3254" w:type="dxa"/>
            <w:gridSpan w:val="5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1081" w:type="dxa"/>
            <w:gridSpan w:val="3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1527" w:type="dxa"/>
            <w:gridSpan w:val="4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652" w:type="dxa"/>
            <w:gridSpan w:val="2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708" w:type="dxa"/>
            <w:gridSpan w:val="2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3227" w:type="dxa"/>
            <w:gridSpan w:val="3"/>
            <w:tcBorders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right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5863" w:type="dxa"/>
            <w:gridSpan w:val="1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Акт составлен «____» _________________ 202__ года</w:t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1527" w:type="dxa"/>
            <w:gridSpan w:val="4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  <w:tc>
          <w:tcPr>
            <w:tcW w:w="3227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right"/>
              <w:rPr>
                <w:rFonts w:eastAsia="Trebuchet MS"/>
                <w:sz w:val="12"/>
                <w:szCs w:val="12"/>
              </w:rPr>
            </w:pPr>
            <w:r>
              <w:rPr>
                <w:rFonts w:eastAsia="Trebuchet MS"/>
                <w:sz w:val="12"/>
                <w:szCs w:val="12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Подписи: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527" w:type="dxa"/>
            <w:gridSpan w:val="4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227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  <w:tr>
        <w:trPr/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</w:r>
          </w:p>
        </w:tc>
        <w:tc>
          <w:tcPr>
            <w:tcW w:w="10449" w:type="dxa"/>
            <w:gridSpan w:val="19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left"/>
              <w:rPr>
                <w:rFonts w:eastAsia="Trebuchet MS"/>
                <w:sz w:val="16"/>
                <w:szCs w:val="16"/>
              </w:rPr>
            </w:pPr>
            <w:r>
              <w:rPr>
                <w:rFonts w:eastAsia="Trebuchet MS"/>
                <w:sz w:val="16"/>
                <w:szCs w:val="16"/>
              </w:rPr>
              <w:t>(акт должен быть подписан всеми лицами, участвовавшими в проверке качества и комплектации изделия)</w:t>
            </w:r>
          </w:p>
        </w:tc>
      </w:tr>
      <w:tr>
        <w:trPr>
          <w:trHeight w:val="1373" w:hRule="atLeast"/>
        </w:trPr>
        <w:tc>
          <w:tcPr>
            <w:tcW w:w="255" w:type="dxa"/>
            <w:tcBorders>
              <w:top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254" w:type="dxa"/>
            <w:gridSpan w:val="5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  <w:t>М.П.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1527" w:type="dxa"/>
            <w:gridSpan w:val="4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  <w:tc>
          <w:tcPr>
            <w:tcW w:w="3227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145" w:leader="none"/>
              </w:tabs>
              <w:spacing w:before="0" w:after="0"/>
              <w:jc w:val="right"/>
              <w:rPr>
                <w:rFonts w:eastAsia="Trebuchet MS"/>
              </w:rPr>
            </w:pPr>
            <w:r>
              <w:rPr>
                <w:rFonts w:eastAsia="Trebuchet MS"/>
              </w:rPr>
            </w:r>
          </w:p>
        </w:tc>
      </w:tr>
    </w:tbl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rPr>
          <w:rFonts w:eastAsia="Trebuchet MS"/>
        </w:rPr>
      </w:pPr>
      <w:r>
        <w:rPr>
          <w:rFonts w:eastAsia="Trebuchet MS"/>
        </w:rPr>
      </w:r>
    </w:p>
    <w:p>
      <w:pPr>
        <w:pStyle w:val="Normal"/>
        <w:spacing w:before="120" w:after="120"/>
        <w:rPr/>
      </w:pPr>
      <w:r>
        <w:rPr/>
      </w:r>
    </w:p>
    <w:sectPr>
      <w:footerReference w:type="default" r:id="rId11"/>
      <w:type w:val="nextPage"/>
      <w:pgSz w:w="11906" w:h="16838"/>
      <w:pgMar w:left="851" w:right="566" w:header="0" w:top="851" w:footer="709" w:bottom="766" w:gutter="0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DIN Pro Regular">
    <w:charset w:val="cc"/>
    <w:family w:val="roman"/>
    <w:pitch w:val="variable"/>
  </w:font>
  <w:font w:name="DIN Pro Medium">
    <w:charset w:val="cc"/>
    <w:family w:val="roman"/>
    <w:pitch w:val="variable"/>
  </w:font>
  <w:font w:name="Cambria">
    <w:charset w:val="cc"/>
    <w:family w:val="roman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292261570"/>
    </w:sdtPr>
    <w:sdtContent>
      <w:p>
        <w:pPr>
          <w:pStyle w:val="Style28"/>
          <w:spacing w:before="120" w:after="120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4</w:t>
        </w:r>
        <w:r>
          <w:rPr/>
          <w:fldChar w:fldCharType="end"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83050887"/>
    </w:sdtPr>
    <w:sdtContent>
      <w:p>
        <w:pPr>
          <w:pStyle w:val="Style28"/>
          <w:spacing w:before="120" w:after="120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20</w:t>
        </w:r>
        <w:r>
          <w:rPr/>
          <w:fldChar w:fldCharType="end"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3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  <w:rFonts w:cs="Symbol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decimal"/>
      <w:lvlText w:val="%1."/>
      <w:lvlJc w:val="left"/>
      <w:pPr>
        <w:ind w:left="570" w:hanging="57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440" w:hanging="1440"/>
      </w:pPr>
    </w:lvl>
    <w:lvl w:ilvl="4">
      <w:start w:val="1"/>
      <w:numFmt w:val="decimal"/>
      <w:lvlText w:val="%1.%2.%3.%4.%5."/>
      <w:lvlJc w:val="left"/>
      <w:pPr>
        <w:ind w:left="1800" w:hanging="1800"/>
      </w:pPr>
    </w:lvl>
    <w:lvl w:ilvl="5">
      <w:start w:val="1"/>
      <w:numFmt w:val="decimal"/>
      <w:lvlText w:val="%1.%2.%3.%4.%5.%6."/>
      <w:lvlJc w:val="left"/>
      <w:pPr>
        <w:ind w:left="2160" w:hanging="2160"/>
      </w:pPr>
    </w:lvl>
    <w:lvl w:ilvl="6">
      <w:start w:val="1"/>
      <w:numFmt w:val="decimal"/>
      <w:lvlText w:val="%1.%2.%3.%4.%5.%6.%7."/>
      <w:lvlJc w:val="left"/>
      <w:pPr>
        <w:ind w:left="2520" w:hanging="2520"/>
      </w:pPr>
    </w:lvl>
    <w:lvl w:ilvl="7">
      <w:start w:val="1"/>
      <w:numFmt w:val="decimal"/>
      <w:lvlText w:val="%1.%2.%3.%4.%5.%6.%7.%8."/>
      <w:lvlJc w:val="left"/>
      <w:pPr>
        <w:ind w:left="2880" w:hanging="2880"/>
      </w:pPr>
    </w:lvl>
    <w:lvl w:ilvl="8">
      <w:start w:val="1"/>
      <w:numFmt w:val="decimal"/>
      <w:lvlText w:val="%1.%2.%3.%4.%5.%6.%7.%8.%9."/>
      <w:lvlJc w:val="left"/>
      <w:pPr>
        <w:ind w:left="3240" w:hanging="3240"/>
      </w:pPr>
    </w:lvl>
  </w:abstractNum>
  <w:abstractNum w:abstractNumId="4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800" w:hanging="180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520" w:hanging="2520"/>
      </w:pPr>
    </w:lvl>
  </w:abstractNum>
  <w:abstractNum w:abstractNumId="8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f91f6e"/>
    <w:pPr>
      <w:widowControl/>
      <w:bidi w:val="0"/>
      <w:spacing w:before="120" w:after="120"/>
      <w:jc w:val="both"/>
    </w:pPr>
    <w:rPr>
      <w:rFonts w:ascii="DIN Pro Regular" w:hAnsi="DIN Pro Regular" w:eastAsia="Times New Roman" w:cs="Times New Roman"/>
      <w:color w:val="auto"/>
      <w:kern w:val="0"/>
      <w:sz w:val="20"/>
      <w:szCs w:val="24"/>
      <w:lang w:val="ru-RU" w:eastAsia="ru-RU" w:bidi="ar-SA"/>
    </w:rPr>
  </w:style>
  <w:style w:type="paragraph" w:styleId="1">
    <w:name w:val="Heading 1"/>
    <w:basedOn w:val="Normal"/>
    <w:next w:val="Normal"/>
    <w:qFormat/>
    <w:rsid w:val="00f91f6e"/>
    <w:pPr>
      <w:keepNext w:val="true"/>
      <w:spacing w:before="480" w:after="0"/>
      <w:outlineLvl w:val="0"/>
    </w:pPr>
    <w:rPr>
      <w:rFonts w:ascii="DIN Pro Medium" w:hAnsi="DIN Pro Medium" w:eastAsia="MS Mincho"/>
      <w:bCs/>
      <w:sz w:val="36"/>
    </w:rPr>
  </w:style>
  <w:style w:type="paragraph" w:styleId="2">
    <w:name w:val="Heading 2"/>
    <w:basedOn w:val="Normal"/>
    <w:next w:val="Normal"/>
    <w:link w:val="20"/>
    <w:semiHidden/>
    <w:unhideWhenUsed/>
    <w:qFormat/>
    <w:rsid w:val="004535be"/>
    <w:pPr>
      <w:keepNext w:val="true"/>
      <w:keepLines/>
      <w:spacing w:before="40" w:after="0"/>
      <w:outlineLvl w:val="1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paragraph" w:styleId="3">
    <w:name w:val="Heading 3"/>
    <w:basedOn w:val="Normal"/>
    <w:next w:val="Normal"/>
    <w:link w:val="30"/>
    <w:semiHidden/>
    <w:unhideWhenUsed/>
    <w:qFormat/>
    <w:rsid w:val="00463ee0"/>
    <w:pPr>
      <w:keepNext w:val="true"/>
      <w:keepLines/>
      <w:spacing w:before="40" w:after="0"/>
      <w:outlineLvl w:val="2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agenumber">
    <w:name w:val="page number"/>
    <w:basedOn w:val="DefaultParagraphFont"/>
    <w:qFormat/>
    <w:rsid w:val="001d0708"/>
    <w:rPr/>
  </w:style>
  <w:style w:type="character" w:styleId="Style11">
    <w:name w:val="Интернет-ссылка"/>
    <w:uiPriority w:val="99"/>
    <w:rsid w:val="006c2914"/>
    <w:rPr>
      <w:color w:val="0000FF"/>
      <w:u w:val="single"/>
    </w:rPr>
  </w:style>
  <w:style w:type="character" w:styleId="FontStyle63" w:customStyle="1">
    <w:name w:val="Font Style63"/>
    <w:qFormat/>
    <w:rsid w:val="00c660ae"/>
    <w:rPr>
      <w:rFonts w:ascii="Times New Roman" w:hAnsi="Times New Roman" w:cs="Times New Roman"/>
      <w:i/>
      <w:iCs/>
      <w:sz w:val="26"/>
      <w:szCs w:val="26"/>
    </w:rPr>
  </w:style>
  <w:style w:type="character" w:styleId="Style12" w:customStyle="1">
    <w:name w:val="Текст Знак"/>
    <w:link w:val="a3"/>
    <w:qFormat/>
    <w:rsid w:val="0059299d"/>
    <w:rPr>
      <w:rFonts w:ascii="Courier New" w:hAnsi="Courier New"/>
    </w:rPr>
  </w:style>
  <w:style w:type="character" w:styleId="Annotationreference">
    <w:name w:val="annotation reference"/>
    <w:qFormat/>
    <w:rsid w:val="00b21ac4"/>
    <w:rPr>
      <w:sz w:val="16"/>
      <w:szCs w:val="16"/>
    </w:rPr>
  </w:style>
  <w:style w:type="character" w:styleId="Style13" w:customStyle="1">
    <w:name w:val="Текст примечания Знак"/>
    <w:basedOn w:val="DefaultParagraphFont"/>
    <w:link w:val="ae"/>
    <w:qFormat/>
    <w:rsid w:val="00b21ac4"/>
    <w:rPr/>
  </w:style>
  <w:style w:type="character" w:styleId="Style14" w:customStyle="1">
    <w:name w:val="Текст выноски Знак"/>
    <w:link w:val="af0"/>
    <w:qFormat/>
    <w:rsid w:val="00b21ac4"/>
    <w:rPr>
      <w:rFonts w:ascii="Tahoma" w:hAnsi="Tahoma" w:cs="Tahoma"/>
      <w:sz w:val="16"/>
      <w:szCs w:val="16"/>
    </w:rPr>
  </w:style>
  <w:style w:type="character" w:styleId="FontStyle72" w:customStyle="1">
    <w:name w:val="Font Style72"/>
    <w:uiPriority w:val="99"/>
    <w:qFormat/>
    <w:rsid w:val="00f2504f"/>
    <w:rPr>
      <w:rFonts w:ascii="Times New Roman" w:hAnsi="Times New Roman" w:cs="Times New Roman"/>
      <w:b/>
      <w:bCs/>
      <w:sz w:val="26"/>
      <w:szCs w:val="26"/>
    </w:rPr>
  </w:style>
  <w:style w:type="character" w:styleId="FontStyle74" w:customStyle="1">
    <w:name w:val="Font Style74"/>
    <w:uiPriority w:val="99"/>
    <w:qFormat/>
    <w:rsid w:val="00e962ee"/>
    <w:rPr>
      <w:rFonts w:ascii="Times New Roman" w:hAnsi="Times New Roman" w:cs="Times New Roman"/>
      <w:sz w:val="26"/>
      <w:szCs w:val="26"/>
    </w:rPr>
  </w:style>
  <w:style w:type="character" w:styleId="Style15">
    <w:name w:val="Выделение"/>
    <w:uiPriority w:val="20"/>
    <w:qFormat/>
    <w:rsid w:val="00e005d3"/>
    <w:rPr>
      <w:i/>
      <w:iCs/>
    </w:rPr>
  </w:style>
  <w:style w:type="character" w:styleId="Style16" w:customStyle="1">
    <w:name w:val="Нижний колонтитул Знак"/>
    <w:basedOn w:val="DefaultParagraphFont"/>
    <w:link w:val="a9"/>
    <w:uiPriority w:val="99"/>
    <w:qFormat/>
    <w:rsid w:val="002b43f6"/>
    <w:rPr>
      <w:sz w:val="24"/>
      <w:szCs w:val="24"/>
    </w:rPr>
  </w:style>
  <w:style w:type="character" w:styleId="Style17" w:customStyle="1">
    <w:name w:val="Заголовок Знак"/>
    <w:basedOn w:val="DefaultParagraphFont"/>
    <w:link w:val="af4"/>
    <w:qFormat/>
    <w:rsid w:val="008132f7"/>
    <w:rPr>
      <w:rFonts w:ascii="DIN Pro Medium" w:hAnsi="DIN Pro Medium" w:eastAsia="" w:cs="" w:cstheme="majorBidi" w:eastAsiaTheme="majorEastAsia"/>
      <w:b/>
      <w:caps/>
      <w:spacing w:val="-10"/>
      <w:kern w:val="2"/>
      <w:sz w:val="56"/>
      <w:szCs w:val="56"/>
    </w:rPr>
  </w:style>
  <w:style w:type="character" w:styleId="Style18" w:customStyle="1">
    <w:name w:val="Подзаголовок Знак"/>
    <w:basedOn w:val="DefaultParagraphFont"/>
    <w:link w:val="af6"/>
    <w:qFormat/>
    <w:rsid w:val="003f401b"/>
    <w:rPr>
      <w:rFonts w:ascii="DIN Pro Medium" w:hAnsi="DIN Pro Medium" w:eastAsia="" w:cs="" w:cstheme="minorBidi" w:eastAsiaTheme="minorEastAsia"/>
      <w:spacing w:val="15"/>
      <w:sz w:val="28"/>
      <w:szCs w:val="22"/>
    </w:rPr>
  </w:style>
  <w:style w:type="character" w:styleId="Strong">
    <w:name w:val="Strong"/>
    <w:basedOn w:val="DefaultParagraphFont"/>
    <w:qFormat/>
    <w:rsid w:val="005619d2"/>
    <w:rPr>
      <w:rFonts w:ascii="DIN Pro Regular" w:hAnsi="DIN Pro Regular"/>
      <w:b/>
      <w:bCs/>
      <w:i w:val="false"/>
    </w:rPr>
  </w:style>
  <w:style w:type="character" w:styleId="21" w:customStyle="1">
    <w:name w:val="Заголовок 2 Знак"/>
    <w:basedOn w:val="DefaultParagraphFont"/>
    <w:link w:val="2"/>
    <w:semiHidden/>
    <w:qFormat/>
    <w:rsid w:val="004535be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character" w:styleId="31" w:customStyle="1">
    <w:name w:val="Заголовок 3 Знак"/>
    <w:basedOn w:val="DefaultParagraphFont"/>
    <w:link w:val="3"/>
    <w:semiHidden/>
    <w:qFormat/>
    <w:rsid w:val="00463ee0"/>
    <w:rPr>
      <w:rFonts w:ascii="Cambria" w:hAnsi="Cambria" w:eastAsia="" w:cs="" w:asciiTheme="majorHAnsi" w:cstheme="majorBidi" w:eastAsiaTheme="majorEastAsia" w:hAnsiTheme="majorHAnsi"/>
      <w:color w:val="243F60" w:themeColor="accent1" w:themeShade="7f"/>
      <w:sz w:val="24"/>
      <w:szCs w:val="24"/>
    </w:rPr>
  </w:style>
  <w:style w:type="character" w:styleId="Style19" w:customStyle="1">
    <w:name w:val="Тема примечания Знак"/>
    <w:basedOn w:val="Style13"/>
    <w:link w:val="afb"/>
    <w:semiHidden/>
    <w:qFormat/>
    <w:rsid w:val="00ac58ce"/>
    <w:rPr>
      <w:rFonts w:ascii="DIN Pro Regular" w:hAnsi="DIN Pro Regular"/>
      <w:b/>
      <w:bCs/>
    </w:rPr>
  </w:style>
  <w:style w:type="character" w:styleId="ListLabel1">
    <w:name w:val="ListLabel 1"/>
    <w:qFormat/>
    <w:rPr>
      <w:rFonts w:eastAsia="Times New Roman" w:cs="Times New Roman"/>
    </w:rPr>
  </w:style>
  <w:style w:type="character" w:styleId="ListLabel2">
    <w:name w:val="ListLabel 2"/>
    <w:qFormat/>
    <w:rPr>
      <w:rFonts w:eastAsia="MS Mincho" w:cs="Times New Roman"/>
    </w:rPr>
  </w:style>
  <w:style w:type="character" w:styleId="ListLabel3">
    <w:name w:val="ListLabel 3"/>
    <w:qFormat/>
    <w:rPr>
      <w:rFonts w:eastAsia="MS Mincho" w:cs="Times New Roman"/>
    </w:rPr>
  </w:style>
  <w:style w:type="character" w:styleId="ListLabel4">
    <w:name w:val="ListLabel 4"/>
    <w:qFormat/>
    <w:rPr>
      <w:rFonts w:eastAsia="MS Mincho" w:cs="Times New Roman"/>
    </w:rPr>
  </w:style>
  <w:style w:type="character" w:styleId="ListLabel5">
    <w:name w:val="ListLabel 5"/>
    <w:qFormat/>
    <w:rPr>
      <w:rFonts w:eastAsia="MS Mincho" w:cs="Times New Roman"/>
    </w:rPr>
  </w:style>
  <w:style w:type="character" w:styleId="ListLabel6">
    <w:name w:val="ListLabel 6"/>
    <w:qFormat/>
    <w:rPr>
      <w:rFonts w:eastAsia="MS Mincho" w:cs="Times New Roman"/>
    </w:rPr>
  </w:style>
  <w:style w:type="character" w:styleId="ListLabel7">
    <w:name w:val="ListLabel 7"/>
    <w:qFormat/>
    <w:rPr>
      <w:rFonts w:eastAsia="MS Mincho" w:cs="Times New Roman"/>
    </w:rPr>
  </w:style>
  <w:style w:type="character" w:styleId="ListLabel8">
    <w:name w:val="ListLabel 8"/>
    <w:qFormat/>
    <w:rPr>
      <w:rFonts w:eastAsia="MS Mincho" w:cs="Times New Roman"/>
      <w:sz w:val="32"/>
    </w:rPr>
  </w:style>
  <w:style w:type="character" w:styleId="ListLabel9">
    <w:name w:val="ListLabel 9"/>
    <w:qFormat/>
    <w:rPr>
      <w:rFonts w:eastAsia="MS Mincho" w:cs="Times New Roman"/>
    </w:rPr>
  </w:style>
  <w:style w:type="character" w:styleId="ListLabel10">
    <w:name w:val="ListLabel 10"/>
    <w:qFormat/>
    <w:rPr>
      <w:rFonts w:eastAsia="MS Mincho" w:cs="Times New Roman"/>
    </w:rPr>
  </w:style>
  <w:style w:type="character" w:styleId="ListLabel11">
    <w:name w:val="ListLabel 11"/>
    <w:qFormat/>
    <w:rPr>
      <w:rFonts w:eastAsia="Times New Roman" w:cs="Times New Roman"/>
    </w:rPr>
  </w:style>
  <w:style w:type="character" w:styleId="ListLabel12">
    <w:name w:val="ListLabel 12"/>
    <w:qFormat/>
    <w:rPr>
      <w:rFonts w:eastAsia="Times New Roman" w:cs="Arial"/>
    </w:rPr>
  </w:style>
  <w:style w:type="character" w:styleId="ListLabel13">
    <w:name w:val="ListLabel 13"/>
    <w:qFormat/>
    <w:rPr>
      <w:rFonts w:eastAsia="MS Mincho" w:cs="Times New Roman"/>
    </w:rPr>
  </w:style>
  <w:style w:type="character" w:styleId="ListLabel14">
    <w:name w:val="ListLabel 14"/>
    <w:qFormat/>
    <w:rPr>
      <w:color w:val="auto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Symbol"/>
      <w:sz w:val="15"/>
      <w:szCs w:val="15"/>
    </w:rPr>
  </w:style>
  <w:style w:type="character" w:styleId="ListLabel17">
    <w:name w:val="ListLabel 17"/>
    <w:qFormat/>
    <w:rPr>
      <w:rFonts w:eastAsia="MS Mincho"/>
      <w:b w:val="false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Style20">
    <w:name w:val="Ссылка указателя"/>
    <w:qFormat/>
    <w:rPr/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2">
    <w:name w:val="Body Text"/>
    <w:basedOn w:val="Normal"/>
    <w:rsid w:val="001d0708"/>
    <w:pPr>
      <w:tabs>
        <w:tab w:val="left" w:pos="8931" w:leader="none"/>
      </w:tabs>
    </w:pPr>
    <w:rPr>
      <w:rFonts w:ascii="Arial" w:hAnsi="Arial"/>
      <w:b/>
      <w:bCs/>
      <w:sz w:val="32"/>
      <w:szCs w:val="20"/>
    </w:rPr>
  </w:style>
  <w:style w:type="paragraph" w:styleId="Style23">
    <w:name w:val="List"/>
    <w:basedOn w:val="Style22"/>
    <w:pPr/>
    <w:rPr>
      <w:rFonts w:cs="Lucida Sans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link w:val="a4"/>
    <w:qFormat/>
    <w:rsid w:val="001d0708"/>
    <w:pPr/>
    <w:rPr>
      <w:rFonts w:ascii="Courier New" w:hAnsi="Courier New"/>
      <w:szCs w:val="20"/>
    </w:rPr>
  </w:style>
  <w:style w:type="paragraph" w:styleId="BodyTextIndent2">
    <w:name w:val="Body Text Indent 2"/>
    <w:basedOn w:val="Normal"/>
    <w:qFormat/>
    <w:rsid w:val="001d0708"/>
    <w:pPr>
      <w:ind w:firstLine="708"/>
    </w:pPr>
    <w:rPr>
      <w:rFonts w:ascii="Arial" w:hAnsi="Arial"/>
      <w:b/>
      <w:szCs w:val="20"/>
    </w:rPr>
  </w:style>
  <w:style w:type="paragraph" w:styleId="BodyText3">
    <w:name w:val="Body Text 3"/>
    <w:basedOn w:val="Normal"/>
    <w:qFormat/>
    <w:rsid w:val="001d0708"/>
    <w:pPr/>
    <w:rPr>
      <w:b/>
      <w:sz w:val="32"/>
      <w:szCs w:val="20"/>
    </w:rPr>
  </w:style>
  <w:style w:type="paragraph" w:styleId="Style26">
    <w:name w:val="Body Text Indent"/>
    <w:basedOn w:val="Normal"/>
    <w:rsid w:val="001d0708"/>
    <w:pPr>
      <w:ind w:firstLine="708"/>
    </w:pPr>
    <w:rPr>
      <w:rFonts w:ascii="Arial" w:hAnsi="Arial"/>
      <w:b/>
      <w:sz w:val="32"/>
      <w:szCs w:val="20"/>
    </w:rPr>
  </w:style>
  <w:style w:type="paragraph" w:styleId="Style27">
    <w:name w:val="Header"/>
    <w:basedOn w:val="Normal"/>
    <w:rsid w:val="001d0708"/>
    <w:pPr>
      <w:tabs>
        <w:tab w:val="center" w:pos="4677" w:leader="none"/>
        <w:tab w:val="right" w:pos="9355" w:leader="none"/>
      </w:tabs>
    </w:pPr>
    <w:rPr/>
  </w:style>
  <w:style w:type="paragraph" w:styleId="BodyTextIndent3">
    <w:name w:val="Body Text Indent 3"/>
    <w:basedOn w:val="Normal"/>
    <w:qFormat/>
    <w:rsid w:val="001d0708"/>
    <w:pPr>
      <w:ind w:firstLine="708"/>
    </w:pPr>
    <w:rPr/>
  </w:style>
  <w:style w:type="paragraph" w:styleId="Style28">
    <w:name w:val="Footer"/>
    <w:basedOn w:val="Normal"/>
    <w:link w:val="aa"/>
    <w:uiPriority w:val="99"/>
    <w:rsid w:val="001d0708"/>
    <w:pPr>
      <w:tabs>
        <w:tab w:val="center" w:pos="4677" w:leader="none"/>
        <w:tab w:val="right" w:pos="9355" w:leader="none"/>
      </w:tabs>
    </w:pPr>
    <w:rPr/>
  </w:style>
  <w:style w:type="paragraph" w:styleId="Style42" w:customStyle="1">
    <w:name w:val="Style42"/>
    <w:basedOn w:val="Normal"/>
    <w:qFormat/>
    <w:rsid w:val="00c660ae"/>
    <w:pPr>
      <w:widowControl w:val="false"/>
      <w:spacing w:lineRule="exact" w:line="322"/>
      <w:ind w:firstLine="749"/>
    </w:pPr>
    <w:rPr>
      <w:rFonts w:ascii="Tahoma" w:hAnsi="Tahoma"/>
    </w:rPr>
  </w:style>
  <w:style w:type="paragraph" w:styleId="Annotationtext">
    <w:name w:val="annotation text"/>
    <w:basedOn w:val="Normal"/>
    <w:link w:val="af"/>
    <w:qFormat/>
    <w:rsid w:val="00b21ac4"/>
    <w:pPr/>
    <w:rPr>
      <w:szCs w:val="20"/>
    </w:rPr>
  </w:style>
  <w:style w:type="paragraph" w:styleId="BalloonText">
    <w:name w:val="Balloon Text"/>
    <w:basedOn w:val="Normal"/>
    <w:link w:val="af1"/>
    <w:qFormat/>
    <w:rsid w:val="00b21ac4"/>
    <w:pPr/>
    <w:rPr>
      <w:rFonts w:ascii="Tahoma" w:hAnsi="Tahoma" w:cs="Tahoma"/>
      <w:sz w:val="16"/>
      <w:szCs w:val="16"/>
    </w:rPr>
  </w:style>
  <w:style w:type="paragraph" w:styleId="Style191" w:customStyle="1">
    <w:name w:val="Style19"/>
    <w:basedOn w:val="Normal"/>
    <w:uiPriority w:val="99"/>
    <w:qFormat/>
    <w:rsid w:val="00f2504f"/>
    <w:pPr>
      <w:widowControl w:val="false"/>
      <w:spacing w:lineRule="exact" w:line="288"/>
      <w:ind w:hanging="437"/>
    </w:pPr>
    <w:rPr>
      <w:rFonts w:ascii="Tahoma" w:hAnsi="Tahoma" w:cs="Tahoma"/>
    </w:rPr>
  </w:style>
  <w:style w:type="paragraph" w:styleId="Style231" w:customStyle="1">
    <w:name w:val="Style23"/>
    <w:basedOn w:val="Normal"/>
    <w:uiPriority w:val="99"/>
    <w:qFormat/>
    <w:rsid w:val="00e962ee"/>
    <w:pPr>
      <w:widowControl w:val="false"/>
      <w:spacing w:lineRule="exact" w:line="321"/>
      <w:ind w:firstLine="710"/>
    </w:pPr>
    <w:rPr>
      <w:rFonts w:ascii="Tahoma" w:hAnsi="Tahoma" w:cs="Tahoma"/>
    </w:rPr>
  </w:style>
  <w:style w:type="paragraph" w:styleId="Style48" w:customStyle="1">
    <w:name w:val="Style48"/>
    <w:basedOn w:val="Normal"/>
    <w:uiPriority w:val="99"/>
    <w:qFormat/>
    <w:rsid w:val="00e962ee"/>
    <w:pPr>
      <w:widowControl w:val="false"/>
      <w:spacing w:lineRule="exact" w:line="322"/>
      <w:ind w:firstLine="715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rsid w:val="0053582a"/>
    <w:pPr>
      <w:ind w:left="720" w:hanging="0"/>
    </w:pPr>
    <w:rPr>
      <w:rFonts w:eastAsia="Calibri" w:eastAsiaTheme="minorHAnsi"/>
      <w:color w:val="000000"/>
    </w:rPr>
  </w:style>
  <w:style w:type="paragraph" w:styleId="Style29">
    <w:name w:val="Title"/>
    <w:basedOn w:val="Normal"/>
    <w:next w:val="Normal"/>
    <w:link w:val="af5"/>
    <w:qFormat/>
    <w:rsid w:val="008132f7"/>
    <w:pPr>
      <w:spacing w:before="120" w:after="240"/>
      <w:contextualSpacing/>
    </w:pPr>
    <w:rPr>
      <w:rFonts w:ascii="DIN Pro Medium" w:hAnsi="DIN Pro Medium" w:eastAsia="" w:cs="" w:cstheme="majorBidi" w:eastAsiaTheme="majorEastAsia"/>
      <w:b/>
      <w:caps/>
      <w:spacing w:val="-10"/>
      <w:kern w:val="2"/>
      <w:sz w:val="56"/>
      <w:szCs w:val="56"/>
    </w:rPr>
  </w:style>
  <w:style w:type="paragraph" w:styleId="Style30">
    <w:name w:val="Subtitle"/>
    <w:basedOn w:val="Normal"/>
    <w:next w:val="Normal"/>
    <w:link w:val="af7"/>
    <w:qFormat/>
    <w:rsid w:val="003f401b"/>
    <w:pPr>
      <w:spacing w:before="240" w:after="0"/>
    </w:pPr>
    <w:rPr>
      <w:rFonts w:ascii="DIN Pro Medium" w:hAnsi="DIN Pro Medium" w:eastAsia="" w:cs="" w:cstheme="minorBidi" w:eastAsiaTheme="minorEastAsia"/>
      <w:spacing w:val="15"/>
      <w:sz w:val="28"/>
      <w:szCs w:val="22"/>
    </w:rPr>
  </w:style>
  <w:style w:type="paragraph" w:styleId="Caption">
    <w:name w:val="caption"/>
    <w:basedOn w:val="Normal"/>
    <w:next w:val="Normal"/>
    <w:unhideWhenUsed/>
    <w:qFormat/>
    <w:rsid w:val="00ea7e10"/>
    <w:pPr>
      <w:spacing w:before="0" w:after="200"/>
    </w:pPr>
    <w:rPr>
      <w:i/>
      <w:iCs/>
      <w:color w:val="1F497D" w:themeColor="text2"/>
      <w:sz w:val="18"/>
      <w:szCs w:val="18"/>
    </w:rPr>
  </w:style>
  <w:style w:type="paragraph" w:styleId="TOCHeading">
    <w:name w:val="TOC Heading"/>
    <w:basedOn w:val="1"/>
    <w:next w:val="Normal"/>
    <w:uiPriority w:val="39"/>
    <w:unhideWhenUsed/>
    <w:qFormat/>
    <w:rsid w:val="004535be"/>
    <w:pPr>
      <w:keepLines/>
      <w:spacing w:lineRule="auto" w:line="259" w:before="240" w:after="0"/>
      <w:jc w:val="left"/>
    </w:pPr>
    <w:rPr>
      <w:rFonts w:ascii="Cambria" w:hAnsi="Cambria" w:eastAsia="" w:cs="" w:asciiTheme="majorHAnsi" w:cstheme="majorBidi" w:eastAsiaTheme="majorEastAsia" w:hAnsiTheme="majorHAnsi"/>
      <w:bCs w:val="false"/>
      <w:color w:val="365F91" w:themeColor="accent1" w:themeShade="bf"/>
      <w:sz w:val="32"/>
      <w:szCs w:val="32"/>
    </w:rPr>
  </w:style>
  <w:style w:type="paragraph" w:styleId="11">
    <w:name w:val="TOC 1"/>
    <w:basedOn w:val="Normal"/>
    <w:next w:val="Normal"/>
    <w:autoRedefine/>
    <w:uiPriority w:val="39"/>
    <w:unhideWhenUsed/>
    <w:rsid w:val="004535be"/>
    <w:pPr>
      <w:spacing w:before="360" w:after="0"/>
      <w:jc w:val="left"/>
    </w:pPr>
    <w:rPr>
      <w:rFonts w:ascii="Cambria" w:hAnsi="Cambria" w:asciiTheme="majorHAnsi" w:hAnsiTheme="majorHAnsi"/>
      <w:b/>
      <w:bCs/>
      <w:caps/>
      <w:sz w:val="24"/>
    </w:rPr>
  </w:style>
  <w:style w:type="paragraph" w:styleId="22">
    <w:name w:val="TOC 2"/>
    <w:basedOn w:val="Normal"/>
    <w:next w:val="Normal"/>
    <w:autoRedefine/>
    <w:uiPriority w:val="39"/>
    <w:unhideWhenUsed/>
    <w:rsid w:val="003f401b"/>
    <w:pPr>
      <w:tabs>
        <w:tab w:val="left" w:pos="709" w:leader="none"/>
        <w:tab w:val="right" w:pos="10479" w:leader="none"/>
      </w:tabs>
      <w:spacing w:before="240" w:after="0"/>
      <w:ind w:left="284" w:hanging="0"/>
      <w:jc w:val="left"/>
    </w:pPr>
    <w:rPr>
      <w:rFonts w:ascii="Calibri" w:hAnsi="Calibri" w:cs="Calibri" w:asciiTheme="minorHAnsi" w:cstheme="minorHAnsi" w:hAnsiTheme="minorHAnsi"/>
      <w:b/>
      <w:bCs/>
      <w:szCs w:val="20"/>
    </w:rPr>
  </w:style>
  <w:style w:type="paragraph" w:styleId="32">
    <w:name w:val="TOC 3"/>
    <w:basedOn w:val="Normal"/>
    <w:next w:val="Normal"/>
    <w:autoRedefine/>
    <w:uiPriority w:val="39"/>
    <w:unhideWhenUsed/>
    <w:rsid w:val="004535be"/>
    <w:pPr>
      <w:spacing w:before="0" w:after="0"/>
      <w:ind w:left="200" w:hanging="0"/>
      <w:jc w:val="left"/>
    </w:pPr>
    <w:rPr>
      <w:rFonts w:ascii="Calibri" w:hAnsi="Calibri" w:cs="Calibri" w:asciiTheme="minorHAnsi" w:cstheme="minorHAnsi" w:hAnsiTheme="minorHAnsi"/>
      <w:szCs w:val="20"/>
    </w:rPr>
  </w:style>
  <w:style w:type="paragraph" w:styleId="4">
    <w:name w:val="TOC 4"/>
    <w:basedOn w:val="Normal"/>
    <w:next w:val="Normal"/>
    <w:autoRedefine/>
    <w:unhideWhenUsed/>
    <w:rsid w:val="00463ee0"/>
    <w:pPr>
      <w:spacing w:before="0" w:after="0"/>
      <w:ind w:left="400" w:hanging="0"/>
      <w:jc w:val="left"/>
    </w:pPr>
    <w:rPr>
      <w:rFonts w:ascii="Calibri" w:hAnsi="Calibri" w:cs="Calibri" w:asciiTheme="minorHAnsi" w:cstheme="minorHAnsi" w:hAnsiTheme="minorHAnsi"/>
      <w:szCs w:val="20"/>
    </w:rPr>
  </w:style>
  <w:style w:type="paragraph" w:styleId="5">
    <w:name w:val="TOC 5"/>
    <w:basedOn w:val="Normal"/>
    <w:next w:val="Normal"/>
    <w:autoRedefine/>
    <w:unhideWhenUsed/>
    <w:rsid w:val="00463ee0"/>
    <w:pPr>
      <w:spacing w:before="0" w:after="0"/>
      <w:ind w:left="600" w:hanging="0"/>
      <w:jc w:val="left"/>
    </w:pPr>
    <w:rPr>
      <w:rFonts w:ascii="Calibri" w:hAnsi="Calibri" w:cs="Calibri" w:asciiTheme="minorHAnsi" w:cstheme="minorHAnsi" w:hAnsiTheme="minorHAnsi"/>
      <w:szCs w:val="20"/>
    </w:rPr>
  </w:style>
  <w:style w:type="paragraph" w:styleId="6">
    <w:name w:val="TOC 6"/>
    <w:basedOn w:val="Normal"/>
    <w:next w:val="Normal"/>
    <w:autoRedefine/>
    <w:unhideWhenUsed/>
    <w:rsid w:val="00463ee0"/>
    <w:pPr>
      <w:spacing w:before="0" w:after="0"/>
      <w:ind w:left="800" w:hanging="0"/>
      <w:jc w:val="left"/>
    </w:pPr>
    <w:rPr>
      <w:rFonts w:ascii="Calibri" w:hAnsi="Calibri" w:cs="Calibri" w:asciiTheme="minorHAnsi" w:cstheme="minorHAnsi" w:hAnsiTheme="minorHAnsi"/>
      <w:szCs w:val="20"/>
    </w:rPr>
  </w:style>
  <w:style w:type="paragraph" w:styleId="7">
    <w:name w:val="TOC 7"/>
    <w:basedOn w:val="Normal"/>
    <w:next w:val="Normal"/>
    <w:autoRedefine/>
    <w:unhideWhenUsed/>
    <w:rsid w:val="00463ee0"/>
    <w:pPr>
      <w:spacing w:before="0" w:after="0"/>
      <w:ind w:left="1000" w:hanging="0"/>
      <w:jc w:val="left"/>
    </w:pPr>
    <w:rPr>
      <w:rFonts w:ascii="Calibri" w:hAnsi="Calibri" w:cs="Calibri" w:asciiTheme="minorHAnsi" w:cstheme="minorHAnsi" w:hAnsiTheme="minorHAnsi"/>
      <w:szCs w:val="20"/>
    </w:rPr>
  </w:style>
  <w:style w:type="paragraph" w:styleId="8">
    <w:name w:val="TOC 8"/>
    <w:basedOn w:val="Normal"/>
    <w:next w:val="Normal"/>
    <w:autoRedefine/>
    <w:unhideWhenUsed/>
    <w:rsid w:val="00463ee0"/>
    <w:pPr>
      <w:spacing w:before="0" w:after="0"/>
      <w:ind w:left="1200" w:hanging="0"/>
      <w:jc w:val="left"/>
    </w:pPr>
    <w:rPr>
      <w:rFonts w:ascii="Calibri" w:hAnsi="Calibri" w:cs="Calibri" w:asciiTheme="minorHAnsi" w:cstheme="minorHAnsi" w:hAnsiTheme="minorHAnsi"/>
      <w:szCs w:val="20"/>
    </w:rPr>
  </w:style>
  <w:style w:type="paragraph" w:styleId="9">
    <w:name w:val="TOC 9"/>
    <w:basedOn w:val="Normal"/>
    <w:next w:val="Normal"/>
    <w:autoRedefine/>
    <w:unhideWhenUsed/>
    <w:rsid w:val="00463ee0"/>
    <w:pPr>
      <w:spacing w:before="0" w:after="0"/>
      <w:ind w:left="1400" w:hanging="0"/>
      <w:jc w:val="left"/>
    </w:pPr>
    <w:rPr>
      <w:rFonts w:ascii="Calibri" w:hAnsi="Calibri" w:cs="Calibri" w:asciiTheme="minorHAnsi" w:cstheme="minorHAnsi" w:hAnsiTheme="minorHAnsi"/>
      <w:szCs w:val="20"/>
    </w:rPr>
  </w:style>
  <w:style w:type="paragraph" w:styleId="Annotationsubject">
    <w:name w:val="annotation subject"/>
    <w:basedOn w:val="Annotationtext"/>
    <w:next w:val="Annotationtext"/>
    <w:link w:val="afc"/>
    <w:semiHidden/>
    <w:unhideWhenUsed/>
    <w:qFormat/>
    <w:rsid w:val="00ac58ce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rsid w:val="001d070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footer" Target="footer2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87872-CF72-4028-A404-41610B707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929</TotalTime>
  <Application>LibreOffice/6.1.0.3$Windows_X86_64 LibreOffice_project/efb621ed25068d70781dc026f7e9c5187a4decd1</Application>
  <Pages>20</Pages>
  <Words>3197</Words>
  <Characters>21760</Characters>
  <CharactersWithSpaces>24530</CharactersWithSpaces>
  <Paragraphs>426</Paragraphs>
  <Company>Совитал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2020-06-11T06:06:00Z</dcterms:created>
  <dc:creator>Кубарева</dc:creator>
  <dc:description/>
  <dc:language>ru-RU</dc:language>
  <cp:lastModifiedBy/>
  <cp:lastPrinted>2022-07-13T08:45:00Z</cp:lastPrinted>
  <dcterms:modified xsi:type="dcterms:W3CDTF">2022-07-25T17:08:53Z</dcterms:modified>
  <cp:revision>55</cp:revision>
  <dc:subject/>
  <dc:title>ШКАФ   ХОЛОДИЛЬНЫЙ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Совитал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